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00" w:rsidRDefault="00606400" w:rsidP="00543E2A">
      <w:pPr>
        <w:spacing w:after="0"/>
        <w:jc w:val="center"/>
        <w:rPr>
          <w:rFonts w:ascii="Swis721 Lt BT" w:eastAsia="Times New Roman" w:hAnsi="Swis721 Lt BT" w:cs="Times New Roman"/>
          <w:b/>
          <w:sz w:val="24"/>
          <w:szCs w:val="24"/>
          <w:lang w:eastAsia="es-ES"/>
        </w:rPr>
      </w:pPr>
    </w:p>
    <w:p w:rsidR="00C30D1D" w:rsidRPr="00704578" w:rsidRDefault="00C30D1D" w:rsidP="00543E2A">
      <w:pPr>
        <w:spacing w:after="0"/>
        <w:jc w:val="center"/>
        <w:rPr>
          <w:rFonts w:ascii="Swis721 Lt BT" w:eastAsia="Times New Roman" w:hAnsi="Swis721 Lt BT" w:cs="Times New Roman"/>
          <w:b/>
          <w:sz w:val="24"/>
          <w:szCs w:val="24"/>
          <w:lang w:eastAsia="es-ES"/>
        </w:rPr>
      </w:pPr>
      <w:r w:rsidRPr="00704578">
        <w:rPr>
          <w:rFonts w:ascii="Swis721 Lt BT" w:eastAsia="Times New Roman" w:hAnsi="Swis721 Lt BT" w:cs="Times New Roman"/>
          <w:b/>
          <w:sz w:val="24"/>
          <w:szCs w:val="24"/>
          <w:lang w:eastAsia="es-ES"/>
        </w:rPr>
        <w:t>INFORME DE GESTIÓN</w:t>
      </w:r>
    </w:p>
    <w:p w:rsidR="00144088" w:rsidRDefault="00085F06" w:rsidP="00543E2A">
      <w:pPr>
        <w:spacing w:after="0"/>
        <w:jc w:val="center"/>
        <w:rPr>
          <w:rFonts w:ascii="Swis721 Lt BT" w:eastAsia="Times New Roman" w:hAnsi="Swis721 Lt BT" w:cs="Times New Roman"/>
          <w:b/>
          <w:sz w:val="24"/>
          <w:szCs w:val="24"/>
          <w:lang w:eastAsia="es-ES"/>
        </w:rPr>
      </w:pPr>
      <w:r w:rsidRPr="00704578">
        <w:rPr>
          <w:rFonts w:ascii="Swis721 Lt BT" w:eastAsia="Times New Roman" w:hAnsi="Swis721 Lt BT" w:cs="Times New Roman"/>
          <w:b/>
          <w:sz w:val="24"/>
          <w:szCs w:val="24"/>
          <w:lang w:eastAsia="es-ES"/>
        </w:rPr>
        <w:t xml:space="preserve">Oficina de </w:t>
      </w:r>
      <w:r w:rsidR="004E3FD9" w:rsidRPr="00704578">
        <w:rPr>
          <w:rFonts w:ascii="Swis721 Lt BT" w:eastAsia="Times New Roman" w:hAnsi="Swis721 Lt BT" w:cs="Times New Roman"/>
          <w:b/>
          <w:sz w:val="24"/>
          <w:szCs w:val="24"/>
          <w:lang w:eastAsia="es-ES"/>
        </w:rPr>
        <w:t>Planeación</w:t>
      </w:r>
    </w:p>
    <w:p w:rsidR="00BE00B9" w:rsidRPr="00704578" w:rsidRDefault="00BE00B9" w:rsidP="00543E2A">
      <w:pPr>
        <w:spacing w:after="0"/>
        <w:jc w:val="center"/>
        <w:rPr>
          <w:rFonts w:ascii="Swis721 Lt BT" w:eastAsia="Times New Roman" w:hAnsi="Swis721 Lt BT" w:cs="Times New Roman"/>
          <w:b/>
          <w:sz w:val="24"/>
          <w:szCs w:val="24"/>
          <w:lang w:eastAsia="es-ES"/>
        </w:rPr>
      </w:pPr>
    </w:p>
    <w:p w:rsidR="001A7033" w:rsidRPr="00704578" w:rsidRDefault="001A7033" w:rsidP="00543E2A">
      <w:pPr>
        <w:spacing w:after="0"/>
        <w:jc w:val="center"/>
        <w:rPr>
          <w:rFonts w:ascii="Swis721 Lt BT" w:eastAsia="Times New Roman" w:hAnsi="Swis721 Lt BT" w:cs="Times New Roman"/>
          <w:sz w:val="24"/>
          <w:szCs w:val="24"/>
          <w:lang w:eastAsia="es-ES"/>
        </w:rPr>
      </w:pPr>
    </w:p>
    <w:p w:rsidR="007042F5" w:rsidRPr="00704578" w:rsidRDefault="00704578" w:rsidP="001D252B">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L</w:t>
      </w:r>
      <w:r w:rsidR="0053125F" w:rsidRPr="00704578">
        <w:rPr>
          <w:rFonts w:ascii="Swis721 Lt BT" w:eastAsia="Times New Roman" w:hAnsi="Swis721 Lt BT" w:cs="Times New Roman"/>
          <w:sz w:val="24"/>
          <w:szCs w:val="24"/>
          <w:lang w:eastAsia="es-ES"/>
        </w:rPr>
        <w:t xml:space="preserve">a Oficina de Planeación presenta lo resultados </w:t>
      </w:r>
      <w:r w:rsidR="00312FB1" w:rsidRPr="00704578">
        <w:rPr>
          <w:rFonts w:ascii="Swis721 Lt BT" w:eastAsia="Times New Roman" w:hAnsi="Swis721 Lt BT" w:cs="Times New Roman"/>
          <w:sz w:val="24"/>
          <w:szCs w:val="24"/>
          <w:lang w:eastAsia="es-ES"/>
        </w:rPr>
        <w:t xml:space="preserve">durante el </w:t>
      </w:r>
      <w:r w:rsidR="001121C4" w:rsidRPr="00704578">
        <w:rPr>
          <w:rFonts w:ascii="Swis721 Lt BT" w:eastAsia="Times New Roman" w:hAnsi="Swis721 Lt BT" w:cs="Times New Roman"/>
          <w:sz w:val="24"/>
          <w:szCs w:val="24"/>
          <w:lang w:eastAsia="es-ES"/>
        </w:rPr>
        <w:t>primer</w:t>
      </w:r>
      <w:r w:rsidR="00312FB1" w:rsidRPr="00704578">
        <w:rPr>
          <w:rFonts w:ascii="Swis721 Lt BT" w:eastAsia="Times New Roman" w:hAnsi="Swis721 Lt BT" w:cs="Times New Roman"/>
          <w:sz w:val="24"/>
          <w:szCs w:val="24"/>
          <w:lang w:eastAsia="es-ES"/>
        </w:rPr>
        <w:t xml:space="preserve"> </w:t>
      </w:r>
      <w:r w:rsidR="001121C4" w:rsidRPr="00704578">
        <w:rPr>
          <w:rFonts w:ascii="Swis721 Lt BT" w:eastAsia="Times New Roman" w:hAnsi="Swis721 Lt BT" w:cs="Times New Roman"/>
          <w:sz w:val="24"/>
          <w:szCs w:val="24"/>
          <w:lang w:eastAsia="es-ES"/>
        </w:rPr>
        <w:t xml:space="preserve"> trimestre </w:t>
      </w:r>
      <w:r w:rsidR="00312FB1" w:rsidRPr="00704578">
        <w:rPr>
          <w:rFonts w:ascii="Swis721 Lt BT" w:eastAsia="Times New Roman" w:hAnsi="Swis721 Lt BT" w:cs="Times New Roman"/>
          <w:sz w:val="24"/>
          <w:szCs w:val="24"/>
          <w:lang w:eastAsia="es-ES"/>
        </w:rPr>
        <w:t xml:space="preserve">del año </w:t>
      </w:r>
      <w:r w:rsidR="001121C4" w:rsidRPr="00704578">
        <w:rPr>
          <w:rFonts w:ascii="Swis721 Lt BT" w:eastAsia="Times New Roman" w:hAnsi="Swis721 Lt BT" w:cs="Times New Roman"/>
          <w:sz w:val="24"/>
          <w:szCs w:val="24"/>
          <w:lang w:eastAsia="es-ES"/>
        </w:rPr>
        <w:t>201</w:t>
      </w:r>
      <w:r>
        <w:rPr>
          <w:rFonts w:ascii="Swis721 Lt BT" w:eastAsia="Times New Roman" w:hAnsi="Swis721 Lt BT" w:cs="Times New Roman"/>
          <w:sz w:val="24"/>
          <w:szCs w:val="24"/>
          <w:lang w:eastAsia="es-ES"/>
        </w:rPr>
        <w:t>7</w:t>
      </w:r>
      <w:r w:rsidR="0053125F" w:rsidRPr="00704578">
        <w:rPr>
          <w:rFonts w:ascii="Swis721 Lt BT" w:eastAsia="Times New Roman" w:hAnsi="Swis721 Lt BT" w:cs="Times New Roman"/>
          <w:sz w:val="24"/>
          <w:szCs w:val="24"/>
          <w:lang w:eastAsia="es-ES"/>
        </w:rPr>
        <w:t>, a través de sus diferentes procesos</w:t>
      </w:r>
      <w:r w:rsidR="00312FB1" w:rsidRPr="00704578">
        <w:rPr>
          <w:rFonts w:ascii="Swis721 Lt BT" w:eastAsia="Times New Roman" w:hAnsi="Swis721 Lt BT" w:cs="Times New Roman"/>
          <w:sz w:val="24"/>
          <w:szCs w:val="24"/>
          <w:lang w:eastAsia="es-ES"/>
        </w:rPr>
        <w:t xml:space="preserve"> y las respectivas estrategias y herramientas que se desprenden de cada uno de ellos</w:t>
      </w:r>
      <w:r w:rsidR="0053125F" w:rsidRPr="00704578">
        <w:rPr>
          <w:rFonts w:ascii="Swis721 Lt BT" w:eastAsia="Times New Roman" w:hAnsi="Swis721 Lt BT" w:cs="Times New Roman"/>
          <w:sz w:val="24"/>
          <w:szCs w:val="24"/>
          <w:lang w:eastAsia="es-ES"/>
        </w:rPr>
        <w:t xml:space="preserve">, los </w:t>
      </w:r>
      <w:r w:rsidR="00312FB1" w:rsidRPr="00704578">
        <w:rPr>
          <w:rFonts w:ascii="Swis721 Lt BT" w:eastAsia="Times New Roman" w:hAnsi="Swis721 Lt BT" w:cs="Times New Roman"/>
          <w:sz w:val="24"/>
          <w:szCs w:val="24"/>
          <w:lang w:eastAsia="es-ES"/>
        </w:rPr>
        <w:t xml:space="preserve">que así, </w:t>
      </w:r>
      <w:r w:rsidR="0053125F" w:rsidRPr="00704578">
        <w:rPr>
          <w:rFonts w:ascii="Swis721 Lt BT" w:eastAsia="Times New Roman" w:hAnsi="Swis721 Lt BT" w:cs="Times New Roman"/>
          <w:sz w:val="24"/>
          <w:szCs w:val="24"/>
          <w:lang w:eastAsia="es-ES"/>
        </w:rPr>
        <w:t>han contribuido al fortalecimiento de componentes institucionales como</w:t>
      </w:r>
      <w:r>
        <w:rPr>
          <w:rFonts w:ascii="Swis721 Lt BT" w:eastAsia="Times New Roman" w:hAnsi="Swis721 Lt BT" w:cs="Times New Roman"/>
          <w:sz w:val="24"/>
          <w:szCs w:val="24"/>
          <w:lang w:eastAsia="es-ES"/>
        </w:rPr>
        <w:t xml:space="preserve">: Acreditación Institucional y de programas, </w:t>
      </w:r>
      <w:r w:rsidR="001121C4" w:rsidRPr="00704578">
        <w:rPr>
          <w:rFonts w:ascii="Swis721 Lt BT" w:eastAsia="Times New Roman" w:hAnsi="Swis721 Lt BT" w:cs="Times New Roman"/>
          <w:sz w:val="24"/>
          <w:szCs w:val="24"/>
          <w:lang w:eastAsia="es-ES"/>
        </w:rPr>
        <w:t xml:space="preserve"> Aseguramiento de la calidad académica, </w:t>
      </w:r>
      <w:r w:rsidR="0053125F" w:rsidRPr="00704578">
        <w:rPr>
          <w:rFonts w:ascii="Swis721 Lt BT" w:eastAsia="Times New Roman" w:hAnsi="Swis721 Lt BT" w:cs="Times New Roman"/>
          <w:sz w:val="24"/>
          <w:szCs w:val="24"/>
          <w:lang w:eastAsia="es-ES"/>
        </w:rPr>
        <w:t xml:space="preserve">la Gestión del PIDI, </w:t>
      </w:r>
      <w:r>
        <w:rPr>
          <w:rFonts w:ascii="Swis721 Lt BT" w:eastAsia="Times New Roman" w:hAnsi="Swis721 Lt BT" w:cs="Times New Roman"/>
          <w:sz w:val="24"/>
          <w:szCs w:val="24"/>
          <w:lang w:eastAsia="es-ES"/>
        </w:rPr>
        <w:t>Sistema de Gestión de Calidad y</w:t>
      </w:r>
      <w:r w:rsidR="001121C4" w:rsidRPr="00704578">
        <w:rPr>
          <w:rFonts w:ascii="Swis721 Lt BT" w:eastAsia="Times New Roman" w:hAnsi="Swis721 Lt BT" w:cs="Times New Roman"/>
          <w:sz w:val="24"/>
          <w:szCs w:val="24"/>
          <w:lang w:eastAsia="es-ES"/>
        </w:rPr>
        <w:t xml:space="preserve"> Sistema de información</w:t>
      </w:r>
      <w:r>
        <w:rPr>
          <w:rFonts w:ascii="Swis721 Lt BT" w:eastAsia="Times New Roman" w:hAnsi="Swis721 Lt BT" w:cs="Times New Roman"/>
          <w:sz w:val="24"/>
          <w:szCs w:val="24"/>
          <w:lang w:eastAsia="es-ES"/>
        </w:rPr>
        <w:t>.</w:t>
      </w:r>
      <w:r w:rsidR="001121C4" w:rsidRPr="00704578">
        <w:rPr>
          <w:rFonts w:ascii="Swis721 Lt BT" w:eastAsia="Times New Roman" w:hAnsi="Swis721 Lt BT" w:cs="Times New Roman"/>
          <w:sz w:val="24"/>
          <w:szCs w:val="24"/>
          <w:lang w:eastAsia="es-ES"/>
        </w:rPr>
        <w:t xml:space="preserve"> </w:t>
      </w:r>
    </w:p>
    <w:p w:rsidR="001A7033" w:rsidRPr="00704578" w:rsidRDefault="001A7033" w:rsidP="00543E2A">
      <w:pPr>
        <w:spacing w:after="0"/>
        <w:jc w:val="center"/>
        <w:rPr>
          <w:rFonts w:ascii="Swis721 Lt BT" w:eastAsia="Times New Roman" w:hAnsi="Swis721 Lt BT" w:cs="Times New Roman"/>
          <w:sz w:val="24"/>
          <w:szCs w:val="24"/>
          <w:lang w:eastAsia="es-ES"/>
        </w:rPr>
      </w:pPr>
    </w:p>
    <w:p w:rsidR="00144088" w:rsidRDefault="001121C4" w:rsidP="00543E2A">
      <w:pPr>
        <w:spacing w:after="0"/>
        <w:jc w:val="center"/>
        <w:rPr>
          <w:rFonts w:ascii="Swis721 Lt BT" w:eastAsia="Times New Roman" w:hAnsi="Swis721 Lt BT" w:cs="Times New Roman"/>
          <w:b/>
          <w:sz w:val="24"/>
          <w:szCs w:val="24"/>
          <w:lang w:eastAsia="es-ES"/>
        </w:rPr>
      </w:pPr>
      <w:r w:rsidRPr="00B47455">
        <w:rPr>
          <w:rFonts w:ascii="Swis721 Lt BT" w:eastAsia="Times New Roman" w:hAnsi="Swis721 Lt BT" w:cs="Times New Roman"/>
          <w:b/>
          <w:sz w:val="24"/>
          <w:szCs w:val="24"/>
          <w:lang w:eastAsia="es-ES"/>
        </w:rPr>
        <w:t xml:space="preserve">Trimestre </w:t>
      </w:r>
      <w:r w:rsidR="006108C0" w:rsidRPr="00B47455">
        <w:rPr>
          <w:rFonts w:ascii="Swis721 Lt BT" w:eastAsia="Times New Roman" w:hAnsi="Swis721 Lt BT" w:cs="Times New Roman"/>
          <w:b/>
          <w:sz w:val="24"/>
          <w:szCs w:val="24"/>
          <w:lang w:eastAsia="es-ES"/>
        </w:rPr>
        <w:t>I</w:t>
      </w:r>
      <w:r w:rsidR="00144088" w:rsidRPr="00B47455">
        <w:rPr>
          <w:rFonts w:ascii="Swis721 Lt BT" w:eastAsia="Times New Roman" w:hAnsi="Swis721 Lt BT" w:cs="Times New Roman"/>
          <w:b/>
          <w:sz w:val="24"/>
          <w:szCs w:val="24"/>
          <w:lang w:eastAsia="es-ES"/>
        </w:rPr>
        <w:t>- 201</w:t>
      </w:r>
      <w:r w:rsidR="00704578" w:rsidRPr="00B47455">
        <w:rPr>
          <w:rFonts w:ascii="Swis721 Lt BT" w:eastAsia="Times New Roman" w:hAnsi="Swis721 Lt BT" w:cs="Times New Roman"/>
          <w:b/>
          <w:sz w:val="24"/>
          <w:szCs w:val="24"/>
          <w:lang w:eastAsia="es-ES"/>
        </w:rPr>
        <w:t>7</w:t>
      </w:r>
    </w:p>
    <w:p w:rsidR="00B47455" w:rsidRDefault="00B47455" w:rsidP="00543E2A">
      <w:pPr>
        <w:spacing w:after="0"/>
        <w:jc w:val="center"/>
        <w:rPr>
          <w:rFonts w:ascii="Swis721 Lt BT" w:eastAsia="Times New Roman" w:hAnsi="Swis721 Lt BT" w:cs="Times New Roman"/>
          <w:b/>
          <w:sz w:val="24"/>
          <w:szCs w:val="24"/>
          <w:lang w:eastAsia="es-ES"/>
        </w:rPr>
      </w:pPr>
    </w:p>
    <w:p w:rsidR="00B47455" w:rsidRPr="00B47455" w:rsidRDefault="00B47455" w:rsidP="00543E2A">
      <w:pPr>
        <w:spacing w:after="0"/>
        <w:jc w:val="center"/>
        <w:rPr>
          <w:rFonts w:ascii="Swis721 Lt BT" w:eastAsia="Times New Roman" w:hAnsi="Swis721 Lt BT" w:cs="Times New Roman"/>
          <w:b/>
          <w:sz w:val="24"/>
          <w:szCs w:val="24"/>
          <w:lang w:eastAsia="es-ES"/>
        </w:rPr>
      </w:pPr>
    </w:p>
    <w:tbl>
      <w:tblPr>
        <w:tblStyle w:val="Listaclara"/>
        <w:tblW w:w="7873" w:type="dxa"/>
        <w:jc w:val="center"/>
        <w:tblLook w:val="04A0" w:firstRow="1" w:lastRow="0" w:firstColumn="1" w:lastColumn="0" w:noHBand="0" w:noVBand="1"/>
      </w:tblPr>
      <w:tblGrid>
        <w:gridCol w:w="3904"/>
        <w:gridCol w:w="3969"/>
      </w:tblGrid>
      <w:tr w:rsidR="00685ED0" w:rsidRPr="00704578" w:rsidTr="00E66E35">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7873" w:type="dxa"/>
            <w:gridSpan w:val="2"/>
            <w:shd w:val="clear" w:color="auto" w:fill="BFBFBF" w:themeFill="background1" w:themeFillShade="BF"/>
            <w:noWrap/>
            <w:vAlign w:val="center"/>
            <w:hideMark/>
          </w:tcPr>
          <w:p w:rsidR="00685ED0" w:rsidRPr="00704578" w:rsidRDefault="00A95391" w:rsidP="004E3FD9">
            <w:pPr>
              <w:jc w:val="center"/>
              <w:rPr>
                <w:rFonts w:ascii="Swis721 Lt BT" w:eastAsia="Times New Roman" w:hAnsi="Swis721 Lt BT" w:cs="Times New Roman"/>
                <w:b w:val="0"/>
                <w:bCs w:val="0"/>
                <w:color w:val="auto"/>
                <w:sz w:val="24"/>
                <w:szCs w:val="24"/>
                <w:lang w:eastAsia="es-ES"/>
              </w:rPr>
            </w:pPr>
            <w:r w:rsidRPr="00704578">
              <w:rPr>
                <w:rFonts w:ascii="Swis721 Lt BT" w:eastAsia="Times New Roman" w:hAnsi="Swis721 Lt BT" w:cs="Times New Roman"/>
                <w:b w:val="0"/>
                <w:bCs w:val="0"/>
                <w:color w:val="auto"/>
                <w:sz w:val="24"/>
                <w:szCs w:val="24"/>
                <w:lang w:eastAsia="es-ES"/>
              </w:rPr>
              <w:t xml:space="preserve">OFICINA </w:t>
            </w:r>
            <w:r w:rsidR="00685ED0" w:rsidRPr="00704578">
              <w:rPr>
                <w:rFonts w:ascii="Swis721 Lt BT" w:eastAsia="Times New Roman" w:hAnsi="Swis721 Lt BT" w:cs="Times New Roman"/>
                <w:b w:val="0"/>
                <w:bCs w:val="0"/>
                <w:color w:val="auto"/>
                <w:sz w:val="24"/>
                <w:szCs w:val="24"/>
                <w:lang w:eastAsia="es-ES"/>
              </w:rPr>
              <w:t>DE PLANEACIÓN</w:t>
            </w:r>
          </w:p>
        </w:tc>
      </w:tr>
      <w:tr w:rsidR="00A4196A" w:rsidRPr="00704578" w:rsidTr="00E66E35">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39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196A" w:rsidRPr="00704578" w:rsidRDefault="00A95391" w:rsidP="00A4196A">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Áreas de Planeación</w:t>
            </w:r>
          </w:p>
        </w:tc>
        <w:tc>
          <w:tcPr>
            <w:tcW w:w="3969" w:type="dxa"/>
            <w:tcBorders>
              <w:left w:val="single" w:sz="4" w:space="0" w:color="auto"/>
            </w:tcBorders>
            <w:shd w:val="clear" w:color="auto" w:fill="BFBFBF" w:themeFill="background1" w:themeFillShade="BF"/>
            <w:noWrap/>
            <w:vAlign w:val="center"/>
            <w:hideMark/>
          </w:tcPr>
          <w:p w:rsidR="00A4196A" w:rsidRPr="00704578" w:rsidRDefault="00A95391"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Responsables de cada área</w:t>
            </w:r>
          </w:p>
        </w:tc>
      </w:tr>
      <w:tr w:rsidR="00A4196A" w:rsidRPr="00704578"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704578" w:rsidRDefault="00A4196A" w:rsidP="00205E37">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Sistema de Gestión de Calidad</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704578"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Gloria</w:t>
            </w:r>
            <w:r w:rsidR="004C4857" w:rsidRPr="00704578">
              <w:rPr>
                <w:rFonts w:ascii="Swis721 Lt BT" w:eastAsia="Times New Roman" w:hAnsi="Swis721 Lt BT" w:cs="Times New Roman"/>
                <w:sz w:val="24"/>
                <w:szCs w:val="24"/>
                <w:lang w:eastAsia="es-ES"/>
              </w:rPr>
              <w:t xml:space="preserve"> Amparo</w:t>
            </w:r>
            <w:r w:rsidRPr="00704578">
              <w:rPr>
                <w:rFonts w:ascii="Swis721 Lt BT" w:eastAsia="Times New Roman" w:hAnsi="Swis721 Lt BT" w:cs="Times New Roman"/>
                <w:sz w:val="24"/>
                <w:szCs w:val="24"/>
                <w:lang w:eastAsia="es-ES"/>
              </w:rPr>
              <w:t xml:space="preserve"> Sánchez Maldonado</w:t>
            </w:r>
          </w:p>
        </w:tc>
      </w:tr>
      <w:tr w:rsidR="00A4196A" w:rsidRPr="00704578"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704578" w:rsidRDefault="001121C4" w:rsidP="00007A85">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Sistema de información (</w:t>
            </w:r>
            <w:r w:rsidR="00A4196A" w:rsidRPr="00704578">
              <w:rPr>
                <w:rFonts w:ascii="Swis721 Lt BT" w:eastAsia="Times New Roman" w:hAnsi="Swis721 Lt BT" w:cs="Times New Roman"/>
                <w:b w:val="0"/>
                <w:bCs w:val="0"/>
                <w:sz w:val="24"/>
                <w:szCs w:val="24"/>
                <w:lang w:eastAsia="es-ES"/>
              </w:rPr>
              <w:t>Reporte a Entes Externos</w:t>
            </w:r>
            <w:r w:rsidRPr="00704578">
              <w:rPr>
                <w:rFonts w:ascii="Swis721 Lt BT" w:eastAsia="Times New Roman" w:hAnsi="Swis721 Lt BT" w:cs="Times New Roman"/>
                <w:b w:val="0"/>
                <w:bCs w:val="0"/>
                <w:sz w:val="24"/>
                <w:szCs w:val="24"/>
                <w:lang w:eastAsia="es-ES"/>
              </w:rPr>
              <w:t>)</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704578"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Abel Rojas Marulanda</w:t>
            </w:r>
          </w:p>
        </w:tc>
      </w:tr>
      <w:tr w:rsidR="00A4196A" w:rsidRPr="00704578"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704578" w:rsidRDefault="00A4196A" w:rsidP="00007A85">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Gestión y Seguimiento del PIDI</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704578" w:rsidRDefault="00704578"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Daniel Mauricio Morales Peláez</w:t>
            </w:r>
          </w:p>
        </w:tc>
      </w:tr>
      <w:tr w:rsidR="00A4196A" w:rsidRPr="00704578" w:rsidTr="00E66E35">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704578" w:rsidRDefault="00A4196A" w:rsidP="00A4196A">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 xml:space="preserve">Acreditación de Alta Calidad </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704578" w:rsidRDefault="00A4196A" w:rsidP="00A4196A">
            <w:pPr>
              <w:jc w:val="center"/>
              <w:cnfStyle w:val="000000100000" w:firstRow="0" w:lastRow="0" w:firstColumn="0" w:lastColumn="0" w:oddVBand="0" w:evenVBand="0" w:oddHBand="1" w:evenHBand="0" w:firstRowFirstColumn="0" w:firstRowLastColumn="0" w:lastRowFirstColumn="0" w:lastRowLastColumn="0"/>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Carlos Andrés Arias Henao</w:t>
            </w:r>
          </w:p>
        </w:tc>
      </w:tr>
      <w:tr w:rsidR="00A4196A" w:rsidRPr="00704578" w:rsidTr="00E66E35">
        <w:trPr>
          <w:trHeight w:val="390"/>
          <w:jc w:val="center"/>
        </w:trPr>
        <w:tc>
          <w:tcPr>
            <w:cnfStyle w:val="001000000000" w:firstRow="0" w:lastRow="0" w:firstColumn="1" w:lastColumn="0" w:oddVBand="0" w:evenVBand="0" w:oddHBand="0" w:evenHBand="0" w:firstRowFirstColumn="0" w:firstRowLastColumn="0" w:lastRowFirstColumn="0" w:lastRowLastColumn="0"/>
            <w:tcW w:w="3904" w:type="dxa"/>
            <w:tcBorders>
              <w:right w:val="single" w:sz="4" w:space="0" w:color="auto"/>
            </w:tcBorders>
            <w:noWrap/>
            <w:vAlign w:val="center"/>
          </w:tcPr>
          <w:p w:rsidR="00A4196A" w:rsidRPr="00704578" w:rsidRDefault="00A4196A" w:rsidP="00007A85">
            <w:pPr>
              <w:jc w:val="center"/>
              <w:rPr>
                <w:rFonts w:ascii="Swis721 Lt BT" w:eastAsia="Times New Roman" w:hAnsi="Swis721 Lt BT" w:cs="Times New Roman"/>
                <w:b w:val="0"/>
                <w:bCs w:val="0"/>
                <w:sz w:val="24"/>
                <w:szCs w:val="24"/>
                <w:lang w:eastAsia="es-ES"/>
              </w:rPr>
            </w:pPr>
            <w:r w:rsidRPr="00704578">
              <w:rPr>
                <w:rFonts w:ascii="Swis721 Lt BT" w:eastAsia="Times New Roman" w:hAnsi="Swis721 Lt BT" w:cs="Times New Roman"/>
                <w:b w:val="0"/>
                <w:bCs w:val="0"/>
                <w:sz w:val="24"/>
                <w:szCs w:val="24"/>
                <w:lang w:eastAsia="es-ES"/>
              </w:rPr>
              <w:t>Aseguramiento de la Calidad Académica</w:t>
            </w:r>
          </w:p>
        </w:tc>
        <w:tc>
          <w:tcPr>
            <w:tcW w:w="3969" w:type="dxa"/>
            <w:tcBorders>
              <w:top w:val="single" w:sz="4" w:space="0" w:color="auto"/>
              <w:left w:val="single" w:sz="4" w:space="0" w:color="auto"/>
              <w:bottom w:val="single" w:sz="4" w:space="0" w:color="auto"/>
              <w:right w:val="single" w:sz="4" w:space="0" w:color="auto"/>
            </w:tcBorders>
            <w:vAlign w:val="center"/>
          </w:tcPr>
          <w:p w:rsidR="00A4196A" w:rsidRPr="00704578" w:rsidRDefault="00A4196A" w:rsidP="00A4196A">
            <w:pPr>
              <w:jc w:val="center"/>
              <w:cnfStyle w:val="000000000000" w:firstRow="0" w:lastRow="0" w:firstColumn="0" w:lastColumn="0" w:oddVBand="0" w:evenVBand="0" w:oddHBand="0" w:evenHBand="0" w:firstRowFirstColumn="0" w:firstRowLastColumn="0" w:lastRowFirstColumn="0" w:lastRowLastColumn="0"/>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María Helena Castrillón Parra</w:t>
            </w:r>
          </w:p>
        </w:tc>
      </w:tr>
    </w:tbl>
    <w:p w:rsidR="00543E2A" w:rsidRPr="00704578" w:rsidRDefault="00543E2A" w:rsidP="004D2AF0">
      <w:pPr>
        <w:spacing w:after="0"/>
        <w:jc w:val="center"/>
        <w:rPr>
          <w:rFonts w:ascii="Swis721 Lt BT" w:eastAsia="Times New Roman" w:hAnsi="Swis721 Lt BT" w:cs="Times New Roman"/>
          <w:sz w:val="24"/>
          <w:szCs w:val="24"/>
          <w:lang w:eastAsia="es-ES"/>
        </w:rPr>
      </w:pPr>
    </w:p>
    <w:p w:rsidR="00546CEA" w:rsidRPr="00704578" w:rsidRDefault="00546CEA"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2A5342" w:rsidRPr="00704578" w:rsidRDefault="002A5342" w:rsidP="004D2AF0">
      <w:pPr>
        <w:spacing w:after="0"/>
        <w:jc w:val="center"/>
        <w:rPr>
          <w:rFonts w:ascii="Swis721 Lt BT" w:eastAsia="Times New Roman" w:hAnsi="Swis721 Lt BT" w:cs="Times New Roman"/>
          <w:sz w:val="24"/>
          <w:szCs w:val="24"/>
          <w:lang w:eastAsia="es-ES"/>
        </w:rPr>
      </w:pPr>
    </w:p>
    <w:p w:rsidR="00704578" w:rsidRDefault="00704578">
      <w:pPr>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br w:type="page"/>
      </w:r>
    </w:p>
    <w:p w:rsidR="00F02F71" w:rsidRDefault="00144088" w:rsidP="00F02F71">
      <w:pPr>
        <w:spacing w:after="0"/>
        <w:jc w:val="center"/>
        <w:rPr>
          <w:rFonts w:ascii="Swis721 Lt BT" w:eastAsia="Times New Roman" w:hAnsi="Swis721 Lt BT" w:cs="Times New Roman"/>
          <w:b/>
          <w:sz w:val="24"/>
          <w:szCs w:val="24"/>
          <w:lang w:eastAsia="es-ES"/>
        </w:rPr>
      </w:pPr>
      <w:r w:rsidRPr="00704578">
        <w:rPr>
          <w:rFonts w:ascii="Swis721 Lt BT" w:eastAsia="Times New Roman" w:hAnsi="Swis721 Lt BT" w:cs="Times New Roman"/>
          <w:b/>
          <w:sz w:val="24"/>
          <w:szCs w:val="24"/>
          <w:lang w:eastAsia="es-ES"/>
        </w:rPr>
        <w:lastRenderedPageBreak/>
        <w:t>RESULTADOS OBTENIDOS</w:t>
      </w:r>
    </w:p>
    <w:p w:rsidR="00B47455" w:rsidRPr="00704578" w:rsidRDefault="00B47455" w:rsidP="00F02F71">
      <w:pPr>
        <w:spacing w:after="0"/>
        <w:jc w:val="center"/>
        <w:rPr>
          <w:rFonts w:ascii="Swis721 Lt BT" w:eastAsia="Times New Roman" w:hAnsi="Swis721 Lt BT" w:cs="Times New Roman"/>
          <w:b/>
          <w:sz w:val="24"/>
          <w:szCs w:val="24"/>
          <w:lang w:eastAsia="es-ES"/>
        </w:rPr>
      </w:pPr>
    </w:p>
    <w:tbl>
      <w:tblPr>
        <w:tblStyle w:val="Tablaconcuadrcula"/>
        <w:tblW w:w="10349" w:type="dxa"/>
        <w:tblInd w:w="-318" w:type="dxa"/>
        <w:tblLayout w:type="fixed"/>
        <w:tblLook w:val="04A0" w:firstRow="1" w:lastRow="0" w:firstColumn="1" w:lastColumn="0" w:noHBand="0" w:noVBand="1"/>
      </w:tblPr>
      <w:tblGrid>
        <w:gridCol w:w="1844"/>
        <w:gridCol w:w="8505"/>
      </w:tblGrid>
      <w:tr w:rsidR="00B80025" w:rsidRPr="00704578" w:rsidTr="000C4563">
        <w:tc>
          <w:tcPr>
            <w:tcW w:w="1844" w:type="dxa"/>
            <w:shd w:val="clear" w:color="auto" w:fill="BFBFBF" w:themeFill="background1" w:themeFillShade="BF"/>
            <w:vAlign w:val="center"/>
          </w:tcPr>
          <w:p w:rsidR="00B80025" w:rsidRPr="00704578" w:rsidRDefault="00A10C00"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TEMÁTICAS</w:t>
            </w:r>
          </w:p>
        </w:tc>
        <w:tc>
          <w:tcPr>
            <w:tcW w:w="8505" w:type="dxa"/>
            <w:shd w:val="clear" w:color="auto" w:fill="BFBFBF" w:themeFill="background1" w:themeFillShade="BF"/>
            <w:vAlign w:val="center"/>
          </w:tcPr>
          <w:p w:rsidR="00B80025" w:rsidRPr="00704578" w:rsidRDefault="00A10C00"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RESULTADOS</w:t>
            </w:r>
          </w:p>
        </w:tc>
      </w:tr>
      <w:tr w:rsidR="00B80025" w:rsidRPr="00704578" w:rsidTr="000C4563">
        <w:tc>
          <w:tcPr>
            <w:tcW w:w="1844" w:type="dxa"/>
            <w:tcBorders>
              <w:bottom w:val="single" w:sz="4" w:space="0" w:color="auto"/>
            </w:tcBorders>
            <w:shd w:val="clear" w:color="auto" w:fill="BFBFBF" w:themeFill="background1" w:themeFillShade="BF"/>
            <w:vAlign w:val="center"/>
          </w:tcPr>
          <w:p w:rsidR="00B80025" w:rsidRPr="00704578" w:rsidRDefault="00B80025"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Sistema de Gestión de Calidad</w:t>
            </w:r>
          </w:p>
        </w:tc>
        <w:tc>
          <w:tcPr>
            <w:tcW w:w="8505" w:type="dxa"/>
            <w:tcBorders>
              <w:bottom w:val="single" w:sz="4" w:space="0" w:color="auto"/>
            </w:tcBorders>
          </w:tcPr>
          <w:p w:rsidR="00704578" w:rsidRPr="00CE26B9" w:rsidRDefault="00704578" w:rsidP="00704578">
            <w:pPr>
              <w:jc w:val="both"/>
              <w:rPr>
                <w:rFonts w:ascii="Swis721 Lt BT" w:eastAsia="Times New Roman" w:hAnsi="Swis721 Lt BT" w:cs="Times New Roman"/>
                <w:b/>
                <w:color w:val="FF0000"/>
                <w:sz w:val="24"/>
                <w:szCs w:val="24"/>
                <w:lang w:eastAsia="es-ES"/>
              </w:rPr>
            </w:pPr>
            <w:r w:rsidRPr="00CE26B9">
              <w:rPr>
                <w:rFonts w:ascii="Swis721 Lt BT" w:eastAsia="Times New Roman" w:hAnsi="Swis721 Lt BT" w:cs="Times New Roman"/>
                <w:b/>
                <w:color w:val="FF0000"/>
                <w:sz w:val="24"/>
                <w:szCs w:val="24"/>
                <w:lang w:eastAsia="es-ES"/>
              </w:rPr>
              <w:t>PROYECTO PIDI 21: AMPLIACIÓN DEL ALCANCE DEL SISTEMA DE GESTIÓN DE CALIDAD</w:t>
            </w:r>
          </w:p>
          <w:p w:rsidR="00704578" w:rsidRDefault="00704578" w:rsidP="00704578">
            <w:pPr>
              <w:jc w:val="both"/>
              <w:rPr>
                <w:rFonts w:cstheme="minorHAnsi"/>
                <w:bCs/>
                <w:lang w:val="es-CO"/>
              </w:rPr>
            </w:pPr>
          </w:p>
          <w:p w:rsidR="00F80832" w:rsidRPr="00CE26B9" w:rsidRDefault="00F80832" w:rsidP="00704578">
            <w:pPr>
              <w:tabs>
                <w:tab w:val="num" w:pos="720"/>
              </w:tabs>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S</w:t>
            </w:r>
            <w:r w:rsidRPr="00CE26B9">
              <w:rPr>
                <w:rFonts w:ascii="Swis721 Lt BT" w:eastAsia="Times New Roman" w:hAnsi="Swis721 Lt BT" w:cs="Times New Roman"/>
                <w:b/>
                <w:sz w:val="24"/>
                <w:szCs w:val="24"/>
                <w:lang w:eastAsia="es-ES"/>
              </w:rPr>
              <w:t>ocialización del nuevo mapa de procesos, política y objetivos de calidad, con alcance académico</w:t>
            </w:r>
            <w:r w:rsidR="002E6904" w:rsidRPr="00CE26B9">
              <w:rPr>
                <w:rFonts w:ascii="Swis721 Lt BT" w:eastAsia="Times New Roman" w:hAnsi="Swis721 Lt BT" w:cs="Times New Roman"/>
                <w:b/>
                <w:sz w:val="24"/>
                <w:szCs w:val="24"/>
                <w:lang w:eastAsia="es-ES"/>
              </w:rPr>
              <w:t>:</w:t>
            </w:r>
            <w:r w:rsidR="002E6904" w:rsidRPr="00CE26B9">
              <w:rPr>
                <w:rFonts w:ascii="Swis721 Lt BT" w:eastAsia="Times New Roman" w:hAnsi="Swis721 Lt BT" w:cs="Times New Roman"/>
                <w:sz w:val="24"/>
                <w:szCs w:val="24"/>
                <w:lang w:eastAsia="es-ES"/>
              </w:rPr>
              <w:t xml:space="preserve"> Durante</w:t>
            </w:r>
            <w:r w:rsidRPr="00CE26B9">
              <w:rPr>
                <w:rFonts w:ascii="Swis721 Lt BT" w:eastAsia="Times New Roman" w:hAnsi="Swis721 Lt BT" w:cs="Times New Roman"/>
                <w:sz w:val="24"/>
                <w:szCs w:val="24"/>
                <w:lang w:eastAsia="es-ES"/>
              </w:rPr>
              <w:t xml:space="preserve"> el primer trimestre del año, se socializó con el personal académico, administrativo y docente el mapa de procesos, política y objetivos de calidad; igualmente se están reproduciendo los anteriores documentos para ser distribuidos para publicación en </w:t>
            </w:r>
            <w:r w:rsidR="00251D0C" w:rsidRPr="00CE26B9">
              <w:rPr>
                <w:rFonts w:ascii="Swis721 Lt BT" w:eastAsia="Times New Roman" w:hAnsi="Swis721 Lt BT" w:cs="Times New Roman"/>
                <w:sz w:val="24"/>
                <w:szCs w:val="24"/>
                <w:lang w:eastAsia="es-ES"/>
              </w:rPr>
              <w:t>cartelera en</w:t>
            </w:r>
            <w:r w:rsidRPr="00CE26B9">
              <w:rPr>
                <w:rFonts w:ascii="Swis721 Lt BT" w:eastAsia="Times New Roman" w:hAnsi="Swis721 Lt BT" w:cs="Times New Roman"/>
                <w:sz w:val="24"/>
                <w:szCs w:val="24"/>
                <w:lang w:eastAsia="es-ES"/>
              </w:rPr>
              <w:t xml:space="preserve"> todas las áreas académicas y administrativas.</w:t>
            </w:r>
          </w:p>
          <w:p w:rsidR="00F80832" w:rsidRPr="00CE26B9" w:rsidRDefault="00F80832" w:rsidP="00704578">
            <w:pPr>
              <w:tabs>
                <w:tab w:val="num" w:pos="720"/>
              </w:tabs>
              <w:jc w:val="both"/>
              <w:rPr>
                <w:rFonts w:ascii="Swis721 Lt BT" w:eastAsia="Times New Roman" w:hAnsi="Swis721 Lt BT" w:cs="Times New Roman"/>
                <w:sz w:val="24"/>
                <w:szCs w:val="24"/>
                <w:lang w:eastAsia="es-ES"/>
              </w:rPr>
            </w:pPr>
          </w:p>
          <w:p w:rsidR="00704578" w:rsidRPr="00CE26B9" w:rsidRDefault="00F80832" w:rsidP="00704578">
            <w:pPr>
              <w:tabs>
                <w:tab w:val="num" w:pos="720"/>
              </w:tabs>
              <w:jc w:val="both"/>
              <w:rPr>
                <w:rFonts w:ascii="Swis721 Lt BT" w:eastAsia="Times New Roman" w:hAnsi="Swis721 Lt BT" w:cs="Times New Roman"/>
                <w:sz w:val="24"/>
                <w:szCs w:val="24"/>
                <w:lang w:eastAsia="es-ES"/>
              </w:rPr>
            </w:pPr>
            <w:r w:rsidRPr="00251D0C">
              <w:rPr>
                <w:rFonts w:ascii="Swis721 Lt BT" w:eastAsia="Times New Roman" w:hAnsi="Swis721 Lt BT" w:cs="Times New Roman"/>
                <w:b/>
                <w:sz w:val="24"/>
                <w:szCs w:val="24"/>
                <w:lang w:eastAsia="es-ES"/>
              </w:rPr>
              <w:t>Socialización para implementación de</w:t>
            </w:r>
            <w:r w:rsidR="007246AC">
              <w:rPr>
                <w:rFonts w:ascii="Swis721 Lt BT" w:eastAsia="Times New Roman" w:hAnsi="Swis721 Lt BT" w:cs="Times New Roman"/>
                <w:b/>
                <w:sz w:val="24"/>
                <w:szCs w:val="24"/>
                <w:lang w:eastAsia="es-ES"/>
              </w:rPr>
              <w:t xml:space="preserve"> algunos </w:t>
            </w:r>
            <w:r w:rsidRPr="00251D0C">
              <w:rPr>
                <w:rFonts w:ascii="Swis721 Lt BT" w:eastAsia="Times New Roman" w:hAnsi="Swis721 Lt BT" w:cs="Times New Roman"/>
                <w:b/>
                <w:sz w:val="24"/>
                <w:szCs w:val="24"/>
                <w:lang w:eastAsia="es-ES"/>
              </w:rPr>
              <w:t xml:space="preserve"> procedimientos </w:t>
            </w:r>
            <w:r w:rsidR="00704578" w:rsidRPr="00251D0C">
              <w:rPr>
                <w:rFonts w:ascii="Swis721 Lt BT" w:eastAsia="Times New Roman" w:hAnsi="Swis721 Lt BT" w:cs="Times New Roman"/>
                <w:b/>
                <w:sz w:val="24"/>
                <w:szCs w:val="24"/>
                <w:lang w:eastAsia="es-ES"/>
              </w:rPr>
              <w:t xml:space="preserve"> estándar </w:t>
            </w:r>
            <w:r w:rsidRPr="00251D0C">
              <w:rPr>
                <w:rFonts w:ascii="Swis721 Lt BT" w:eastAsia="Times New Roman" w:hAnsi="Swis721 Lt BT" w:cs="Times New Roman"/>
                <w:b/>
                <w:sz w:val="24"/>
                <w:szCs w:val="24"/>
                <w:lang w:eastAsia="es-ES"/>
              </w:rPr>
              <w:t xml:space="preserve"> de los procesos de Docencia</w:t>
            </w:r>
            <w:r w:rsidR="001F335D">
              <w:rPr>
                <w:rFonts w:ascii="Swis721 Lt BT" w:eastAsia="Times New Roman" w:hAnsi="Swis721 Lt BT" w:cs="Times New Roman"/>
                <w:b/>
                <w:sz w:val="24"/>
                <w:szCs w:val="24"/>
                <w:lang w:eastAsia="es-ES"/>
              </w:rPr>
              <w:t xml:space="preserve">, </w:t>
            </w:r>
            <w:r w:rsidR="00C7594A">
              <w:rPr>
                <w:rFonts w:ascii="Swis721 Lt BT" w:eastAsia="Times New Roman" w:hAnsi="Swis721 Lt BT" w:cs="Times New Roman"/>
                <w:b/>
                <w:sz w:val="24"/>
                <w:szCs w:val="24"/>
                <w:lang w:eastAsia="es-ES"/>
              </w:rPr>
              <w:t>investigación</w:t>
            </w:r>
            <w:r w:rsidRPr="00251D0C">
              <w:rPr>
                <w:rFonts w:ascii="Swis721 Lt BT" w:eastAsia="Times New Roman" w:hAnsi="Swis721 Lt BT" w:cs="Times New Roman"/>
                <w:b/>
                <w:sz w:val="24"/>
                <w:szCs w:val="24"/>
                <w:lang w:eastAsia="es-ES"/>
              </w:rPr>
              <w:t xml:space="preserve"> e internacionalización</w:t>
            </w:r>
            <w:r w:rsidR="00704578" w:rsidRPr="00CE26B9">
              <w:rPr>
                <w:rFonts w:ascii="Swis721 Lt BT" w:eastAsia="Times New Roman" w:hAnsi="Swis721 Lt BT" w:cs="Times New Roman"/>
                <w:sz w:val="24"/>
                <w:szCs w:val="24"/>
                <w:lang w:eastAsia="es-ES"/>
              </w:rPr>
              <w:t xml:space="preserve">: </w:t>
            </w:r>
            <w:r w:rsidRPr="00CE26B9">
              <w:rPr>
                <w:rFonts w:ascii="Swis721 Lt BT" w:eastAsia="Times New Roman" w:hAnsi="Swis721 Lt BT" w:cs="Times New Roman"/>
                <w:sz w:val="24"/>
                <w:szCs w:val="24"/>
                <w:lang w:eastAsia="es-ES"/>
              </w:rPr>
              <w:t>Se envió socialización mediante boletín informativo</w:t>
            </w:r>
            <w:r w:rsidR="001F335D">
              <w:rPr>
                <w:rFonts w:ascii="Swis721 Lt BT" w:eastAsia="Times New Roman" w:hAnsi="Swis721 Lt BT" w:cs="Times New Roman"/>
                <w:sz w:val="24"/>
                <w:szCs w:val="24"/>
                <w:lang w:eastAsia="es-ES"/>
              </w:rPr>
              <w:t xml:space="preserve"> y correos electrónicos</w:t>
            </w:r>
            <w:r w:rsidRPr="00CE26B9">
              <w:rPr>
                <w:rFonts w:ascii="Swis721 Lt BT" w:eastAsia="Times New Roman" w:hAnsi="Swis721 Lt BT" w:cs="Times New Roman"/>
                <w:sz w:val="24"/>
                <w:szCs w:val="24"/>
                <w:lang w:eastAsia="es-ES"/>
              </w:rPr>
              <w:t>, administrativo y académico de los procedimientos y formatos que se deben implementar en los procesos misionales correspondientes, documentación que está dis</w:t>
            </w:r>
            <w:r w:rsidR="001F335D">
              <w:rPr>
                <w:rFonts w:ascii="Swis721 Lt BT" w:eastAsia="Times New Roman" w:hAnsi="Swis721 Lt BT" w:cs="Times New Roman"/>
                <w:sz w:val="24"/>
                <w:szCs w:val="24"/>
                <w:lang w:eastAsia="es-ES"/>
              </w:rPr>
              <w:t>ponible en la intranet nacional y en el punto de consulta Seccional</w:t>
            </w:r>
          </w:p>
          <w:p w:rsidR="00704578" w:rsidRDefault="00704578" w:rsidP="00704578">
            <w:pPr>
              <w:jc w:val="both"/>
              <w:rPr>
                <w:rFonts w:ascii="Swis721 Lt BT" w:eastAsia="Times New Roman" w:hAnsi="Swis721 Lt BT" w:cs="Times New Roman"/>
                <w:b/>
                <w:sz w:val="24"/>
                <w:szCs w:val="24"/>
                <w:lang w:eastAsia="es-ES"/>
              </w:rPr>
            </w:pPr>
          </w:p>
          <w:p w:rsidR="00704578" w:rsidRDefault="00704578" w:rsidP="00704578">
            <w:pPr>
              <w:jc w:val="both"/>
              <w:rPr>
                <w:rFonts w:ascii="Swis721 Lt BT" w:eastAsia="Times New Roman" w:hAnsi="Swis721 Lt BT" w:cs="Times New Roman"/>
                <w:sz w:val="24"/>
                <w:szCs w:val="24"/>
                <w:lang w:eastAsia="es-ES"/>
              </w:rPr>
            </w:pPr>
            <w:r w:rsidRPr="00704578">
              <w:rPr>
                <w:rFonts w:ascii="Swis721 Lt BT" w:eastAsia="Times New Roman" w:hAnsi="Swis721 Lt BT" w:cs="Times New Roman"/>
                <w:b/>
                <w:sz w:val="24"/>
                <w:szCs w:val="24"/>
                <w:lang w:eastAsia="es-ES"/>
              </w:rPr>
              <w:t>Propuesta de ajuste a la normatividad</w:t>
            </w:r>
            <w:r w:rsidR="00AC372D">
              <w:rPr>
                <w:rFonts w:ascii="Swis721 Lt BT" w:eastAsia="Times New Roman" w:hAnsi="Swis721 Lt BT" w:cs="Times New Roman"/>
                <w:b/>
                <w:sz w:val="24"/>
                <w:szCs w:val="24"/>
                <w:lang w:eastAsia="es-ES"/>
              </w:rPr>
              <w:t xml:space="preserve"> de la </w:t>
            </w:r>
            <w:proofErr w:type="spellStart"/>
            <w:r w:rsidR="00AC372D">
              <w:rPr>
                <w:rFonts w:ascii="Swis721 Lt BT" w:eastAsia="Times New Roman" w:hAnsi="Swis721 Lt BT" w:cs="Times New Roman"/>
                <w:b/>
                <w:sz w:val="24"/>
                <w:szCs w:val="24"/>
                <w:lang w:eastAsia="es-ES"/>
              </w:rPr>
              <w:t>H.Consiliatura</w:t>
            </w:r>
            <w:proofErr w:type="spellEnd"/>
            <w:r>
              <w:rPr>
                <w:rFonts w:ascii="Swis721 Lt BT" w:eastAsia="Times New Roman" w:hAnsi="Swis721 Lt BT" w:cs="Times New Roman"/>
                <w:sz w:val="24"/>
                <w:szCs w:val="24"/>
                <w:lang w:eastAsia="es-ES"/>
              </w:rPr>
              <w:t xml:space="preserve">:  </w:t>
            </w:r>
            <w:r w:rsidR="002E6904">
              <w:rPr>
                <w:rFonts w:ascii="Swis721 Lt BT" w:eastAsia="Times New Roman" w:hAnsi="Swis721 Lt BT" w:cs="Times New Roman"/>
                <w:sz w:val="24"/>
                <w:szCs w:val="24"/>
                <w:lang w:eastAsia="es-ES"/>
              </w:rPr>
              <w:t>Desde el mes de noviembre de 2016, la Coordinación de calidad, viene haciendo a</w:t>
            </w:r>
            <w:r>
              <w:rPr>
                <w:rFonts w:ascii="Swis721 Lt BT" w:eastAsia="Times New Roman" w:hAnsi="Swis721 Lt BT" w:cs="Times New Roman"/>
                <w:sz w:val="24"/>
                <w:szCs w:val="24"/>
                <w:lang w:eastAsia="es-ES"/>
              </w:rPr>
              <w:t xml:space="preserve">compañamiento </w:t>
            </w:r>
            <w:r w:rsidR="002E6904">
              <w:rPr>
                <w:rFonts w:ascii="Swis721 Lt BT" w:eastAsia="Times New Roman" w:hAnsi="Swis721 Lt BT" w:cs="Times New Roman"/>
                <w:sz w:val="24"/>
                <w:szCs w:val="24"/>
                <w:lang w:eastAsia="es-ES"/>
              </w:rPr>
              <w:t>a las áreas académicas y administrativas para realizar propuestas de ajustes a la normatividad bajo los siguientes parámetros:</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1. Actualización a nuevos estándares nacionales e internacionales</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2. Contexto y necesidades del entorno</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3. Prospectiva de la Investigación a nivel nacional e internacional</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 xml:space="preserve">4. Propuesta de eliminación de </w:t>
            </w:r>
            <w:r w:rsidR="00251D0C" w:rsidRPr="00CE26B9">
              <w:rPr>
                <w:rFonts w:ascii="Swis721 Lt BT" w:eastAsia="Times New Roman" w:hAnsi="Swis721 Lt BT" w:cs="Times New Roman"/>
                <w:sz w:val="24"/>
                <w:szCs w:val="24"/>
                <w:lang w:eastAsia="es-ES"/>
              </w:rPr>
              <w:t>artículos</w:t>
            </w:r>
            <w:r w:rsidRPr="00CE26B9">
              <w:rPr>
                <w:rFonts w:ascii="Swis721 Lt BT" w:eastAsia="Times New Roman" w:hAnsi="Swis721 Lt BT" w:cs="Times New Roman"/>
                <w:sz w:val="24"/>
                <w:szCs w:val="24"/>
                <w:lang w:eastAsia="es-ES"/>
              </w:rPr>
              <w:t xml:space="preserve"> obsoletos</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5. Actualización de las normas</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6. Fusionar artículos</w:t>
            </w:r>
          </w:p>
          <w:p w:rsidR="00CE26B9" w:rsidRP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7. Modificar artículos que generen tramitología y reprocesos</w:t>
            </w:r>
          </w:p>
          <w:p w:rsidR="00CE26B9" w:rsidRDefault="00CE26B9" w:rsidP="00CE26B9">
            <w:pPr>
              <w:jc w:val="both"/>
              <w:rPr>
                <w:rFonts w:ascii="Swis721 Lt BT" w:eastAsia="Times New Roman" w:hAnsi="Swis721 Lt BT" w:cs="Times New Roman"/>
                <w:sz w:val="24"/>
                <w:szCs w:val="24"/>
                <w:lang w:eastAsia="es-ES"/>
              </w:rPr>
            </w:pPr>
            <w:r w:rsidRPr="00CE26B9">
              <w:rPr>
                <w:rFonts w:ascii="Swis721 Lt BT" w:eastAsia="Times New Roman" w:hAnsi="Swis721 Lt BT" w:cs="Times New Roman"/>
                <w:sz w:val="24"/>
                <w:szCs w:val="24"/>
                <w:lang w:eastAsia="es-ES"/>
              </w:rPr>
              <w:t>8. Objetividad en las propuestas pensando en lo institucional, más no en las personas</w:t>
            </w:r>
          </w:p>
          <w:p w:rsidR="00704578" w:rsidRDefault="00704578" w:rsidP="00704578">
            <w:pPr>
              <w:jc w:val="both"/>
              <w:rPr>
                <w:rFonts w:ascii="Swis721 Lt BT" w:eastAsia="Times New Roman" w:hAnsi="Swis721 Lt BT" w:cs="Times New Roman"/>
                <w:sz w:val="24"/>
                <w:szCs w:val="24"/>
                <w:lang w:eastAsia="es-ES"/>
              </w:rPr>
            </w:pPr>
          </w:p>
          <w:p w:rsidR="00370A00" w:rsidRPr="00370A00" w:rsidRDefault="00704578" w:rsidP="00370A00">
            <w:pPr>
              <w:jc w:val="both"/>
              <w:rPr>
                <w:rFonts w:ascii="Swis721 Lt BT" w:hAnsi="Swis721 Lt BT"/>
                <w:lang w:val="es-CO" w:eastAsia="es-ES"/>
              </w:rPr>
            </w:pPr>
            <w:r w:rsidRPr="00704578">
              <w:rPr>
                <w:rFonts w:ascii="Swis721 Lt BT" w:eastAsia="Times New Roman" w:hAnsi="Swis721 Lt BT" w:cs="Times New Roman"/>
                <w:b/>
                <w:sz w:val="24"/>
                <w:szCs w:val="24"/>
                <w:lang w:eastAsia="es-ES"/>
              </w:rPr>
              <w:t>Curso de auditores integrales</w:t>
            </w:r>
            <w:r>
              <w:rPr>
                <w:rFonts w:ascii="Swis721 Lt BT" w:eastAsia="Times New Roman" w:hAnsi="Swis721 Lt BT" w:cs="Times New Roman"/>
                <w:sz w:val="24"/>
                <w:szCs w:val="24"/>
                <w:lang w:eastAsia="es-ES"/>
              </w:rPr>
              <w:t xml:space="preserve">: </w:t>
            </w:r>
            <w:r w:rsidR="00370A00">
              <w:rPr>
                <w:rFonts w:ascii="Swis721 Lt BT" w:eastAsia="Times New Roman" w:hAnsi="Swis721 Lt BT" w:cs="Times New Roman"/>
                <w:sz w:val="24"/>
                <w:szCs w:val="24"/>
                <w:lang w:eastAsia="es-ES"/>
              </w:rPr>
              <w:t>Los días 6, 7 y 8 de marzo, se realizó el curso de auditores integrales</w:t>
            </w:r>
            <w:r w:rsidR="008433BF">
              <w:rPr>
                <w:rFonts w:ascii="Swis721 Lt BT" w:eastAsia="Times New Roman" w:hAnsi="Swis721 Lt BT" w:cs="Times New Roman"/>
                <w:sz w:val="24"/>
                <w:szCs w:val="24"/>
                <w:lang w:eastAsia="es-ES"/>
              </w:rPr>
              <w:t xml:space="preserve"> donde participaron Decanos, Directores de programa, Titulares de proceso administrativo, auditores internos de calidad, Coordinadora de la ORI y  Directores de centro de investigación (42 en total),</w:t>
            </w:r>
            <w:r w:rsidR="00370A00">
              <w:rPr>
                <w:rFonts w:ascii="Swis721 Lt BT" w:eastAsia="Times New Roman" w:hAnsi="Swis721 Lt BT" w:cs="Times New Roman"/>
                <w:sz w:val="24"/>
                <w:szCs w:val="24"/>
                <w:lang w:eastAsia="es-ES"/>
              </w:rPr>
              <w:t xml:space="preserve"> bajo </w:t>
            </w:r>
            <w:r w:rsidR="00370A00" w:rsidRPr="008433BF">
              <w:rPr>
                <w:rFonts w:ascii="Swis721 Lt BT" w:eastAsia="Times New Roman" w:hAnsi="Swis721 Lt BT"/>
                <w:bCs/>
                <w:lang w:val="es-CO" w:eastAsia="es-ES"/>
              </w:rPr>
              <w:t>la norma ISO 9001 y 14001 (Actualización 2015) OHSAS 18001 y Decreto 1072/2015 + formación auditores internos</w:t>
            </w:r>
            <w:r w:rsidR="00370A00" w:rsidRPr="00370A00">
              <w:rPr>
                <w:rFonts w:ascii="Swis721 Lt BT" w:eastAsia="Times New Roman" w:hAnsi="Swis721 Lt BT"/>
                <w:b/>
                <w:bCs/>
                <w:lang w:val="es-CO" w:eastAsia="es-ES"/>
              </w:rPr>
              <w:t xml:space="preserve">  </w:t>
            </w:r>
          </w:p>
          <w:p w:rsidR="00704578" w:rsidRDefault="00704578" w:rsidP="00704578">
            <w:pPr>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 xml:space="preserve"> </w:t>
            </w:r>
          </w:p>
          <w:p w:rsidR="00704578" w:rsidRDefault="00704578" w:rsidP="00704578">
            <w:pPr>
              <w:jc w:val="both"/>
              <w:rPr>
                <w:rFonts w:ascii="Swis721 Lt BT" w:eastAsia="Times New Roman" w:hAnsi="Swis721 Lt BT" w:cs="Times New Roman"/>
                <w:sz w:val="24"/>
                <w:szCs w:val="24"/>
                <w:lang w:eastAsia="es-ES"/>
              </w:rPr>
            </w:pPr>
          </w:p>
          <w:p w:rsidR="00E43374" w:rsidRPr="009855E3" w:rsidRDefault="00E43374" w:rsidP="00E43374">
            <w:pPr>
              <w:jc w:val="both"/>
              <w:rPr>
                <w:rFonts w:cstheme="minorHAnsi"/>
                <w:b/>
                <w:bCs/>
                <w:color w:val="FF0000"/>
                <w:lang w:val="es-CO"/>
              </w:rPr>
            </w:pPr>
            <w:r w:rsidRPr="009855E3">
              <w:rPr>
                <w:rFonts w:cstheme="minorHAnsi"/>
                <w:b/>
                <w:bCs/>
                <w:color w:val="FF0000"/>
                <w:lang w:val="es-CO"/>
              </w:rPr>
              <w:lastRenderedPageBreak/>
              <w:t>PROYECTO PIDI 22: LA UNIVERSIDAD ORIENTADA AL SERVICIO DE LA COMUNIDAD UNILIBRISTA</w:t>
            </w:r>
          </w:p>
          <w:p w:rsidR="00E43374" w:rsidRDefault="00E43374" w:rsidP="00E43374">
            <w:pPr>
              <w:jc w:val="both"/>
              <w:rPr>
                <w:rFonts w:cstheme="minorHAnsi"/>
                <w:b/>
                <w:bCs/>
              </w:rPr>
            </w:pPr>
          </w:p>
          <w:p w:rsidR="00E43374" w:rsidRPr="00141730" w:rsidRDefault="00E43374" w:rsidP="00307BD2">
            <w:pPr>
              <w:jc w:val="both"/>
              <w:rPr>
                <w:rFonts w:cstheme="minorHAnsi"/>
                <w:bCs/>
                <w:lang w:val="es-CO"/>
              </w:rPr>
            </w:pPr>
            <w:r>
              <w:rPr>
                <w:rFonts w:cstheme="minorHAnsi"/>
                <w:b/>
                <w:bCs/>
              </w:rPr>
              <w:t>Aplicación encuesta de satisfacción</w:t>
            </w:r>
            <w:r w:rsidR="00307BD2">
              <w:rPr>
                <w:rFonts w:cstheme="minorHAnsi"/>
                <w:b/>
                <w:bCs/>
              </w:rPr>
              <w:t xml:space="preserve"> unificada con aseguramiento de la calidad y SGC</w:t>
            </w:r>
            <w:r w:rsidR="009A2E9A">
              <w:rPr>
                <w:rFonts w:cstheme="minorHAnsi"/>
                <w:b/>
                <w:bCs/>
              </w:rPr>
              <w:t xml:space="preserve">: </w:t>
            </w:r>
            <w:r w:rsidR="00141730" w:rsidRPr="00141730">
              <w:rPr>
                <w:rFonts w:cstheme="minorHAnsi"/>
                <w:bCs/>
              </w:rPr>
              <w:t xml:space="preserve">Se está haciendo ajustes a la encuesta por parte de los titulares de proceso para ser enviado a la sede principal y </w:t>
            </w:r>
            <w:r w:rsidR="00307BD2" w:rsidRPr="00141730">
              <w:rPr>
                <w:rFonts w:cstheme="minorHAnsi"/>
                <w:bCs/>
                <w:lang w:val="es-CO"/>
              </w:rPr>
              <w:t xml:space="preserve"> para ser aplicada conjuntamente con la Oficina de Planeación.</w:t>
            </w:r>
          </w:p>
          <w:p w:rsidR="00307BD2" w:rsidRPr="00141730" w:rsidRDefault="00307BD2" w:rsidP="00307BD2">
            <w:pPr>
              <w:jc w:val="both"/>
              <w:rPr>
                <w:rFonts w:cstheme="minorHAnsi"/>
                <w:bCs/>
                <w:lang w:val="es-CO"/>
              </w:rPr>
            </w:pPr>
          </w:p>
          <w:p w:rsidR="00E43374" w:rsidRDefault="00E43374" w:rsidP="00E43374">
            <w:pPr>
              <w:jc w:val="both"/>
              <w:rPr>
                <w:rFonts w:cstheme="minorHAnsi"/>
                <w:bCs/>
              </w:rPr>
            </w:pPr>
            <w:r>
              <w:rPr>
                <w:rFonts w:cstheme="minorHAnsi"/>
                <w:b/>
                <w:bCs/>
              </w:rPr>
              <w:t>Medición de indicadores</w:t>
            </w:r>
            <w:r w:rsidR="009A2E9A">
              <w:rPr>
                <w:rFonts w:cstheme="minorHAnsi"/>
                <w:b/>
                <w:bCs/>
              </w:rPr>
              <w:t>: Se</w:t>
            </w:r>
            <w:r w:rsidR="00307BD2">
              <w:rPr>
                <w:rFonts w:cstheme="minorHAnsi"/>
                <w:bCs/>
              </w:rPr>
              <w:t xml:space="preserve"> solicitaron los resultados de indicadores </w:t>
            </w:r>
            <w:r w:rsidR="009A2E9A">
              <w:rPr>
                <w:rFonts w:cstheme="minorHAnsi"/>
                <w:bCs/>
              </w:rPr>
              <w:t>del primer trimestre del año (Mensual y trimestral</w:t>
            </w:r>
            <w:r w:rsidR="00307BD2">
              <w:rPr>
                <w:rFonts w:cstheme="minorHAnsi"/>
                <w:bCs/>
              </w:rPr>
              <w:t>) a los procesos que tienen esa periodicidad en la medición.</w:t>
            </w:r>
          </w:p>
          <w:p w:rsidR="00E43374" w:rsidRDefault="00E43374" w:rsidP="00E43374">
            <w:pPr>
              <w:jc w:val="both"/>
              <w:rPr>
                <w:rFonts w:cstheme="minorHAnsi"/>
                <w:b/>
                <w:bCs/>
              </w:rPr>
            </w:pPr>
          </w:p>
          <w:p w:rsidR="00E43374" w:rsidRDefault="00E43374" w:rsidP="00E43374">
            <w:pPr>
              <w:jc w:val="both"/>
              <w:rPr>
                <w:rFonts w:cstheme="minorHAnsi"/>
                <w:bCs/>
                <w:lang w:val="es-CO"/>
              </w:rPr>
            </w:pPr>
            <w:r>
              <w:rPr>
                <w:rFonts w:cstheme="minorHAnsi"/>
                <w:b/>
                <w:bCs/>
              </w:rPr>
              <w:t xml:space="preserve">Revisión Gerencial: </w:t>
            </w:r>
            <w:r w:rsidR="00307BD2">
              <w:rPr>
                <w:rFonts w:cstheme="minorHAnsi"/>
                <w:b/>
                <w:bCs/>
              </w:rPr>
              <w:t xml:space="preserve">Se </w:t>
            </w:r>
            <w:r w:rsidRPr="00FB242A">
              <w:rPr>
                <w:rFonts w:cstheme="minorHAnsi"/>
                <w:bCs/>
              </w:rPr>
              <w:t>realiz</w:t>
            </w:r>
            <w:r w:rsidR="00307BD2">
              <w:rPr>
                <w:rFonts w:cstheme="minorHAnsi"/>
                <w:bCs/>
              </w:rPr>
              <w:t>ó</w:t>
            </w:r>
            <w:r w:rsidRPr="00FB242A">
              <w:rPr>
                <w:rFonts w:cstheme="minorHAnsi"/>
                <w:bCs/>
              </w:rPr>
              <w:t xml:space="preserve"> e</w:t>
            </w:r>
            <w:r w:rsidR="00307BD2">
              <w:rPr>
                <w:rFonts w:cstheme="minorHAnsi"/>
                <w:bCs/>
              </w:rPr>
              <w:t xml:space="preserve">l día 15 de </w:t>
            </w:r>
            <w:r w:rsidRPr="00FB242A">
              <w:rPr>
                <w:rFonts w:cstheme="minorHAnsi"/>
                <w:bCs/>
              </w:rPr>
              <w:t>marzo de 2017, donde</w:t>
            </w:r>
            <w:r w:rsidR="00307BD2">
              <w:rPr>
                <w:rFonts w:cstheme="minorHAnsi"/>
                <w:bCs/>
              </w:rPr>
              <w:t xml:space="preserve"> se analizaro</w:t>
            </w:r>
            <w:r w:rsidRPr="00FB242A">
              <w:rPr>
                <w:rFonts w:cstheme="minorHAnsi"/>
                <w:bCs/>
              </w:rPr>
              <w:t>n los períodos 2016-1 y 2016-2</w:t>
            </w:r>
            <w:r>
              <w:rPr>
                <w:rFonts w:cstheme="minorHAnsi"/>
                <w:bCs/>
              </w:rPr>
              <w:t xml:space="preserve"> </w:t>
            </w:r>
            <w:r w:rsidR="00307BD2">
              <w:rPr>
                <w:rFonts w:cstheme="minorHAnsi"/>
                <w:bCs/>
              </w:rPr>
              <w:t>con</w:t>
            </w:r>
            <w:r w:rsidRPr="00862E70">
              <w:rPr>
                <w:rFonts w:cstheme="minorHAnsi"/>
                <w:bCs/>
                <w:lang w:val="es-CO"/>
              </w:rPr>
              <w:t xml:space="preserve"> la participación de la Rectoría Seccional</w:t>
            </w:r>
            <w:r w:rsidR="00307BD2">
              <w:rPr>
                <w:rFonts w:cstheme="minorHAnsi"/>
                <w:bCs/>
                <w:lang w:val="es-CO"/>
              </w:rPr>
              <w:t xml:space="preserve">, </w:t>
            </w:r>
            <w:r w:rsidRPr="00862E70">
              <w:rPr>
                <w:rFonts w:cstheme="minorHAnsi"/>
                <w:bCs/>
                <w:lang w:val="es-CO"/>
              </w:rPr>
              <w:t>Decanos,</w:t>
            </w:r>
            <w:r w:rsidR="00307BD2">
              <w:rPr>
                <w:rFonts w:cstheme="minorHAnsi"/>
                <w:bCs/>
                <w:lang w:val="es-CO"/>
              </w:rPr>
              <w:t xml:space="preserve"> Director Seccional de Investigaciones, Directores de centro de investigación, Coordinadora de la ORI, Consultorio Jurídico y Titulares de proceso administrativo</w:t>
            </w:r>
            <w:r w:rsidR="009A2E9A">
              <w:rPr>
                <w:rFonts w:cstheme="minorHAnsi"/>
                <w:bCs/>
                <w:lang w:val="es-CO"/>
              </w:rPr>
              <w:t>, producto</w:t>
            </w:r>
            <w:r w:rsidRPr="00862E70">
              <w:rPr>
                <w:rFonts w:cstheme="minorHAnsi"/>
                <w:bCs/>
                <w:lang w:val="es-CO"/>
              </w:rPr>
              <w:t xml:space="preserve"> de la retroalimentación entre administración y academia quedaron acciones de </w:t>
            </w:r>
            <w:r w:rsidR="009A2E9A" w:rsidRPr="00862E70">
              <w:rPr>
                <w:rFonts w:cstheme="minorHAnsi"/>
                <w:bCs/>
                <w:lang w:val="es-CO"/>
              </w:rPr>
              <w:t xml:space="preserve">mejoramiento </w:t>
            </w:r>
            <w:r w:rsidR="009A2E9A">
              <w:rPr>
                <w:rFonts w:cstheme="minorHAnsi"/>
                <w:bCs/>
                <w:lang w:val="es-CO"/>
              </w:rPr>
              <w:t>tanto</w:t>
            </w:r>
            <w:r w:rsidR="00307BD2">
              <w:rPr>
                <w:rFonts w:cstheme="minorHAnsi"/>
                <w:bCs/>
                <w:lang w:val="es-CO"/>
              </w:rPr>
              <w:t xml:space="preserve"> en los procesos misionales como soporte que hacen parte del SGC.</w:t>
            </w:r>
          </w:p>
          <w:p w:rsidR="00307BD2" w:rsidRDefault="00307BD2" w:rsidP="00E43374">
            <w:pPr>
              <w:jc w:val="both"/>
              <w:rPr>
                <w:rFonts w:cstheme="minorHAnsi"/>
                <w:bCs/>
                <w:lang w:val="es-CO"/>
              </w:rPr>
            </w:pPr>
          </w:p>
          <w:p w:rsidR="00E43374" w:rsidRDefault="00E43374" w:rsidP="00E43374">
            <w:pPr>
              <w:jc w:val="both"/>
              <w:rPr>
                <w:rFonts w:cstheme="minorHAnsi"/>
                <w:bCs/>
              </w:rPr>
            </w:pPr>
            <w:r w:rsidRPr="0011636A">
              <w:rPr>
                <w:rFonts w:cstheme="minorHAnsi"/>
                <w:b/>
                <w:bCs/>
              </w:rPr>
              <w:t>Seguimiento a quejas y calificaciones del servicio</w:t>
            </w:r>
            <w:r w:rsidR="009A2E9A">
              <w:rPr>
                <w:rFonts w:cstheme="minorHAnsi"/>
                <w:bCs/>
              </w:rPr>
              <w:t>: Actividad</w:t>
            </w:r>
            <w:r w:rsidRPr="00FB599B">
              <w:rPr>
                <w:rFonts w:cstheme="minorHAnsi"/>
                <w:bCs/>
              </w:rPr>
              <w:t xml:space="preserve"> permanente, donde se consolidan, se envían las quejas a cada titular y se les hace el respectivo seguimiento, al igual </w:t>
            </w:r>
            <w:r w:rsidR="009A2E9A">
              <w:rPr>
                <w:rFonts w:cstheme="minorHAnsi"/>
                <w:bCs/>
              </w:rPr>
              <w:t>que a los Derechos de petición.</w:t>
            </w:r>
          </w:p>
          <w:p w:rsidR="009A2E9A" w:rsidRPr="0003108E" w:rsidRDefault="009A2E9A" w:rsidP="00E43374">
            <w:pPr>
              <w:jc w:val="both"/>
              <w:rPr>
                <w:rFonts w:cstheme="minorHAnsi"/>
                <w:b/>
                <w:bCs/>
                <w:lang w:val="es-CO"/>
              </w:rPr>
            </w:pPr>
          </w:p>
          <w:p w:rsidR="00E43374" w:rsidRDefault="00E43374" w:rsidP="00E43374">
            <w:pPr>
              <w:tabs>
                <w:tab w:val="num" w:pos="720"/>
              </w:tabs>
              <w:jc w:val="both"/>
              <w:rPr>
                <w:rFonts w:cstheme="minorHAnsi"/>
                <w:bCs/>
              </w:rPr>
            </w:pPr>
            <w:r>
              <w:rPr>
                <w:rFonts w:cstheme="minorHAnsi"/>
                <w:b/>
                <w:bCs/>
              </w:rPr>
              <w:t xml:space="preserve">Mapas de riesgos y acciones preventivas: </w:t>
            </w:r>
            <w:r w:rsidRPr="00FB599B">
              <w:rPr>
                <w:rFonts w:cstheme="minorHAnsi"/>
                <w:bCs/>
              </w:rPr>
              <w:t>Se</w:t>
            </w:r>
            <w:r w:rsidR="009A2E9A">
              <w:rPr>
                <w:rFonts w:cstheme="minorHAnsi"/>
                <w:bCs/>
              </w:rPr>
              <w:t xml:space="preserve"> </w:t>
            </w:r>
            <w:r w:rsidR="001E599F">
              <w:rPr>
                <w:rFonts w:cstheme="minorHAnsi"/>
                <w:bCs/>
              </w:rPr>
              <w:t>desarrolló</w:t>
            </w:r>
            <w:bookmarkStart w:id="0" w:name="_GoBack"/>
            <w:bookmarkEnd w:id="0"/>
            <w:r w:rsidR="009A2E9A">
              <w:rPr>
                <w:rFonts w:cstheme="minorHAnsi"/>
                <w:bCs/>
              </w:rPr>
              <w:t xml:space="preserve"> </w:t>
            </w:r>
            <w:r w:rsidR="00E2751E">
              <w:rPr>
                <w:rFonts w:cstheme="minorHAnsi"/>
                <w:bCs/>
              </w:rPr>
              <w:t>el cronograma de trabajo con 15</w:t>
            </w:r>
            <w:r w:rsidR="009A2E9A">
              <w:rPr>
                <w:rFonts w:cstheme="minorHAnsi"/>
                <w:bCs/>
              </w:rPr>
              <w:t xml:space="preserve"> </w:t>
            </w:r>
            <w:r w:rsidR="00C46204">
              <w:rPr>
                <w:rFonts w:cstheme="minorHAnsi"/>
                <w:bCs/>
              </w:rPr>
              <w:t>procesos que</w:t>
            </w:r>
            <w:r w:rsidR="00B20C86">
              <w:rPr>
                <w:rFonts w:cstheme="minorHAnsi"/>
                <w:bCs/>
              </w:rPr>
              <w:t xml:space="preserve"> conforman el SGC, en la identificación, actualización y formulación de acciones para evitar, prevenir o mitigar los riesgos en la institución.</w:t>
            </w:r>
          </w:p>
          <w:p w:rsidR="00DD493A" w:rsidRDefault="00DD493A" w:rsidP="00E43374">
            <w:pPr>
              <w:tabs>
                <w:tab w:val="num" w:pos="720"/>
              </w:tabs>
              <w:jc w:val="both"/>
              <w:rPr>
                <w:rFonts w:cstheme="minorHAnsi"/>
                <w:bCs/>
              </w:rPr>
            </w:pPr>
          </w:p>
          <w:p w:rsidR="00E43374" w:rsidRDefault="00E43374" w:rsidP="00E43374">
            <w:pPr>
              <w:jc w:val="both"/>
              <w:rPr>
                <w:rFonts w:cstheme="minorHAnsi"/>
                <w:bCs/>
                <w:lang w:val="es-CO"/>
              </w:rPr>
            </w:pPr>
            <w:r>
              <w:rPr>
                <w:rFonts w:cstheme="minorHAnsi"/>
                <w:b/>
                <w:bCs/>
              </w:rPr>
              <w:t>Evaluación de competencias</w:t>
            </w:r>
            <w:r w:rsidRPr="0057480C">
              <w:rPr>
                <w:rFonts w:cstheme="minorHAnsi"/>
                <w:b/>
                <w:bCs/>
              </w:rPr>
              <w:t xml:space="preserve"> del auditor: </w:t>
            </w:r>
            <w:r w:rsidRPr="00C25F6B">
              <w:rPr>
                <w:rFonts w:cstheme="minorHAnsi"/>
                <w:bCs/>
                <w:lang w:val="es-CO"/>
              </w:rPr>
              <w:t xml:space="preserve">Se realizó la evaluación de las competencias </w:t>
            </w:r>
            <w:r w:rsidR="00C46204">
              <w:rPr>
                <w:rFonts w:cstheme="minorHAnsi"/>
                <w:bCs/>
                <w:lang w:val="es-CO"/>
              </w:rPr>
              <w:t xml:space="preserve">en el mes de marzo de 2017, </w:t>
            </w:r>
            <w:r>
              <w:rPr>
                <w:rFonts w:cstheme="minorHAnsi"/>
                <w:bCs/>
                <w:lang w:val="es-CO"/>
              </w:rPr>
              <w:t>de calidad de</w:t>
            </w:r>
            <w:r w:rsidRPr="00C25F6B">
              <w:rPr>
                <w:rFonts w:cstheme="minorHAnsi"/>
                <w:bCs/>
                <w:lang w:val="es-CO"/>
              </w:rPr>
              <w:t xml:space="preserve"> acuerdo al plan de trabajo nacional</w:t>
            </w:r>
            <w:r>
              <w:rPr>
                <w:rFonts w:cstheme="minorHAnsi"/>
                <w:bCs/>
                <w:lang w:val="es-CO"/>
              </w:rPr>
              <w:t>.</w:t>
            </w:r>
          </w:p>
          <w:p w:rsidR="00E43374" w:rsidRDefault="00E43374" w:rsidP="00E43374">
            <w:pPr>
              <w:rPr>
                <w:rFonts w:cstheme="minorHAnsi"/>
                <w:b/>
                <w:bCs/>
              </w:rPr>
            </w:pPr>
          </w:p>
          <w:p w:rsidR="00E43374" w:rsidRDefault="00E43374" w:rsidP="00E43374">
            <w:pPr>
              <w:jc w:val="both"/>
              <w:rPr>
                <w:rFonts w:cstheme="minorHAnsi"/>
                <w:bCs/>
                <w:lang w:val="es-CO"/>
              </w:rPr>
            </w:pPr>
            <w:r w:rsidRPr="00DB3A98">
              <w:rPr>
                <w:rFonts w:cstheme="minorHAnsi"/>
                <w:b/>
                <w:bCs/>
              </w:rPr>
              <w:t>Auditorías internas de calidad</w:t>
            </w:r>
            <w:r>
              <w:rPr>
                <w:rFonts w:cstheme="minorHAnsi"/>
                <w:bCs/>
              </w:rPr>
              <w:t xml:space="preserve">: </w:t>
            </w:r>
            <w:r w:rsidR="00C46204">
              <w:rPr>
                <w:rFonts w:cstheme="minorHAnsi"/>
                <w:bCs/>
                <w:lang w:val="es-CO"/>
              </w:rPr>
              <w:t>El primer ciclo de auditoría s</w:t>
            </w:r>
            <w:r>
              <w:rPr>
                <w:rFonts w:cstheme="minorHAnsi"/>
                <w:bCs/>
                <w:lang w:val="es-CO"/>
              </w:rPr>
              <w:t>e r</w:t>
            </w:r>
            <w:r w:rsidRPr="00C25F6B">
              <w:rPr>
                <w:rFonts w:cstheme="minorHAnsi"/>
                <w:bCs/>
                <w:lang w:val="es-CO"/>
              </w:rPr>
              <w:t>ealiz</w:t>
            </w:r>
            <w:r w:rsidR="00C46204">
              <w:rPr>
                <w:rFonts w:cstheme="minorHAnsi"/>
                <w:bCs/>
                <w:lang w:val="es-CO"/>
              </w:rPr>
              <w:t>ará en el mes de mayo de 2017, según directriz nacional, donde se incluirán como observadores algunos auditores nuevos que hicieron el curso de auditores integrales.</w:t>
            </w:r>
          </w:p>
          <w:p w:rsidR="00C46204" w:rsidRDefault="00C46204" w:rsidP="00E43374">
            <w:pPr>
              <w:jc w:val="both"/>
              <w:rPr>
                <w:rFonts w:cstheme="minorHAnsi"/>
                <w:bCs/>
              </w:rPr>
            </w:pPr>
          </w:p>
          <w:p w:rsidR="00E43374" w:rsidRPr="004950AB" w:rsidRDefault="00E43374" w:rsidP="00E43374">
            <w:pPr>
              <w:rPr>
                <w:rFonts w:cstheme="minorHAnsi"/>
                <w:bCs/>
              </w:rPr>
            </w:pPr>
            <w:r>
              <w:rPr>
                <w:rFonts w:cstheme="minorHAnsi"/>
                <w:b/>
                <w:bCs/>
                <w:lang w:val="es-CO"/>
              </w:rPr>
              <w:t>Planes de</w:t>
            </w:r>
            <w:r w:rsidRPr="0057480C">
              <w:rPr>
                <w:rFonts w:cstheme="minorHAnsi"/>
                <w:b/>
                <w:bCs/>
                <w:lang w:val="es-CO"/>
              </w:rPr>
              <w:t xml:space="preserve"> Mejora</w:t>
            </w:r>
            <w:r>
              <w:rPr>
                <w:rFonts w:cstheme="minorHAnsi"/>
                <w:b/>
                <w:bCs/>
                <w:lang w:val="es-CO"/>
              </w:rPr>
              <w:t xml:space="preserve">miento: </w:t>
            </w:r>
            <w:r w:rsidR="00C46204" w:rsidRPr="00E2751E">
              <w:rPr>
                <w:rFonts w:cstheme="minorHAnsi"/>
                <w:bCs/>
                <w:lang w:val="es-CO"/>
              </w:rPr>
              <w:t xml:space="preserve">Se incluyeron para este año los </w:t>
            </w:r>
            <w:r w:rsidRPr="00E2751E">
              <w:rPr>
                <w:rFonts w:cstheme="minorHAnsi"/>
                <w:bCs/>
              </w:rPr>
              <w:t>PLANES</w:t>
            </w:r>
            <w:r w:rsidRPr="004950AB">
              <w:rPr>
                <w:rFonts w:cstheme="minorHAnsi"/>
                <w:bCs/>
              </w:rPr>
              <w:t xml:space="preserve"> DE MEJORAMIENTO</w:t>
            </w:r>
            <w:r w:rsidR="00C46204">
              <w:rPr>
                <w:rFonts w:cstheme="minorHAnsi"/>
                <w:bCs/>
              </w:rPr>
              <w:t xml:space="preserve"> de los procesos misionales de docencia, investigación, proyección social e internacionalización.</w:t>
            </w:r>
          </w:p>
          <w:p w:rsidR="00E43374" w:rsidRDefault="00E43374" w:rsidP="00E43374">
            <w:pPr>
              <w:jc w:val="both"/>
              <w:rPr>
                <w:rFonts w:cstheme="minorHAnsi"/>
                <w:b/>
                <w:bCs/>
              </w:rPr>
            </w:pPr>
          </w:p>
          <w:p w:rsidR="00E43374" w:rsidRPr="0085637E" w:rsidRDefault="00E43374" w:rsidP="00E43374">
            <w:pPr>
              <w:jc w:val="both"/>
              <w:rPr>
                <w:rFonts w:cstheme="minorHAnsi"/>
                <w:b/>
                <w:bCs/>
              </w:rPr>
            </w:pPr>
            <w:r w:rsidRPr="00F51EC1">
              <w:rPr>
                <w:rFonts w:ascii="Calibri" w:hAnsi="Calibri" w:cs="Calibri"/>
                <w:b/>
                <w:color w:val="000000"/>
              </w:rPr>
              <w:t>Seguimiento al Plan Anual de Trabajo (PAT)</w:t>
            </w:r>
            <w:r>
              <w:rPr>
                <w:rFonts w:ascii="Calibri" w:hAnsi="Calibri" w:cs="Calibri"/>
                <w:b/>
                <w:color w:val="000000"/>
              </w:rPr>
              <w:t>: Se</w:t>
            </w:r>
            <w:r w:rsidR="00C46204">
              <w:rPr>
                <w:rFonts w:ascii="Calibri" w:hAnsi="Calibri" w:cs="Calibri"/>
                <w:b/>
                <w:color w:val="000000"/>
              </w:rPr>
              <w:t xml:space="preserve"> </w:t>
            </w:r>
            <w:r w:rsidRPr="00F51EC1">
              <w:rPr>
                <w:rFonts w:ascii="Calibri" w:hAnsi="Calibri" w:cs="Calibri"/>
                <w:color w:val="000000"/>
              </w:rPr>
              <w:t>realizó seguimiento</w:t>
            </w:r>
            <w:r>
              <w:rPr>
                <w:rFonts w:ascii="Calibri" w:hAnsi="Calibri" w:cs="Calibri"/>
                <w:color w:val="000000"/>
              </w:rPr>
              <w:t xml:space="preserve"> al </w:t>
            </w:r>
            <w:r w:rsidR="00C46204">
              <w:rPr>
                <w:rFonts w:ascii="Calibri" w:hAnsi="Calibri" w:cs="Calibri"/>
                <w:color w:val="000000"/>
              </w:rPr>
              <w:t>1</w:t>
            </w:r>
            <w:r>
              <w:rPr>
                <w:rFonts w:ascii="Calibri" w:hAnsi="Calibri" w:cs="Calibri"/>
                <w:color w:val="000000"/>
              </w:rPr>
              <w:t>º. Trimestre de 201</w:t>
            </w:r>
            <w:r w:rsidR="00C46204">
              <w:rPr>
                <w:rFonts w:ascii="Calibri" w:hAnsi="Calibri" w:cs="Calibri"/>
                <w:color w:val="000000"/>
              </w:rPr>
              <w:t>7</w:t>
            </w:r>
            <w:r>
              <w:rPr>
                <w:rFonts w:ascii="Calibri" w:hAnsi="Calibri" w:cs="Calibri"/>
                <w:color w:val="000000"/>
              </w:rPr>
              <w:t xml:space="preserve"> </w:t>
            </w:r>
            <w:r w:rsidRPr="00F51EC1">
              <w:rPr>
                <w:rFonts w:ascii="Calibri" w:hAnsi="Calibri" w:cs="Calibri"/>
                <w:color w:val="000000"/>
              </w:rPr>
              <w:t>al PAT, con el acompañamie</w:t>
            </w:r>
            <w:r>
              <w:rPr>
                <w:rFonts w:ascii="Calibri" w:hAnsi="Calibri" w:cs="Calibri"/>
                <w:color w:val="000000"/>
              </w:rPr>
              <w:t>nto de la oficina de Planeación.</w:t>
            </w:r>
          </w:p>
          <w:p w:rsidR="00E43374" w:rsidRDefault="00E43374" w:rsidP="00E43374">
            <w:pPr>
              <w:jc w:val="both"/>
              <w:rPr>
                <w:rFonts w:cstheme="minorHAnsi"/>
                <w:b/>
                <w:bCs/>
              </w:rPr>
            </w:pPr>
          </w:p>
          <w:p w:rsidR="00E43374" w:rsidRPr="00B160AF" w:rsidRDefault="00E43374" w:rsidP="00E43374">
            <w:pPr>
              <w:tabs>
                <w:tab w:val="num" w:pos="720"/>
              </w:tabs>
              <w:rPr>
                <w:rFonts w:cstheme="minorHAnsi"/>
                <w:b/>
                <w:bCs/>
                <w:color w:val="FF0000"/>
                <w:lang w:val="es-CO"/>
              </w:rPr>
            </w:pPr>
            <w:r w:rsidRPr="00B160AF">
              <w:rPr>
                <w:rFonts w:cstheme="minorHAnsi"/>
                <w:b/>
                <w:bCs/>
                <w:color w:val="FF0000"/>
                <w:lang w:val="es-CO"/>
              </w:rPr>
              <w:t>PROYECTO PIDI 23: SISTEMA INTEGRADO DE GESTIÓN</w:t>
            </w:r>
          </w:p>
          <w:p w:rsidR="00E43374" w:rsidRDefault="00E43374" w:rsidP="00E43374">
            <w:pPr>
              <w:tabs>
                <w:tab w:val="num" w:pos="720"/>
              </w:tabs>
              <w:rPr>
                <w:rFonts w:cstheme="minorHAnsi"/>
                <w:b/>
                <w:bCs/>
                <w:color w:val="FF0000"/>
                <w:lang w:val="es-CO"/>
              </w:rPr>
            </w:pPr>
          </w:p>
          <w:p w:rsidR="00E43374" w:rsidRPr="006C3CA4" w:rsidRDefault="00D076DE" w:rsidP="00E43374">
            <w:pPr>
              <w:tabs>
                <w:tab w:val="num" w:pos="720"/>
              </w:tabs>
              <w:rPr>
                <w:rFonts w:cstheme="minorHAnsi"/>
                <w:b/>
                <w:bCs/>
                <w:lang w:val="es-CO"/>
              </w:rPr>
            </w:pPr>
            <w:r>
              <w:rPr>
                <w:rFonts w:cstheme="minorHAnsi"/>
                <w:bCs/>
                <w:lang w:val="es-CO"/>
              </w:rPr>
              <w:t>Se solicitó a c</w:t>
            </w:r>
            <w:r w:rsidR="00E43374" w:rsidRPr="006C3CA4">
              <w:rPr>
                <w:rFonts w:cstheme="minorHAnsi"/>
                <w:bCs/>
                <w:lang w:val="es-CO"/>
              </w:rPr>
              <w:t xml:space="preserve">ada titular </w:t>
            </w:r>
            <w:r w:rsidR="00E43374">
              <w:rPr>
                <w:rFonts w:cstheme="minorHAnsi"/>
                <w:bCs/>
                <w:lang w:val="es-CO"/>
              </w:rPr>
              <w:t>responsable de los Sistemas de Calidad</w:t>
            </w:r>
            <w:r>
              <w:rPr>
                <w:rFonts w:cstheme="minorHAnsi"/>
                <w:bCs/>
                <w:lang w:val="es-CO"/>
              </w:rPr>
              <w:t>, el informe del primer trimestre del año 2017</w:t>
            </w:r>
            <w:r w:rsidR="00E43374">
              <w:rPr>
                <w:rFonts w:cstheme="minorHAnsi"/>
                <w:bCs/>
                <w:lang w:val="es-CO"/>
              </w:rPr>
              <w:t>:</w:t>
            </w:r>
          </w:p>
          <w:p w:rsidR="00E43374" w:rsidRDefault="00E43374" w:rsidP="00E43374">
            <w:pPr>
              <w:tabs>
                <w:tab w:val="num" w:pos="720"/>
              </w:tabs>
              <w:rPr>
                <w:rFonts w:cstheme="minorHAnsi"/>
                <w:bCs/>
                <w:lang w:val="es-CO"/>
              </w:rPr>
            </w:pPr>
            <w:r>
              <w:rPr>
                <w:rFonts w:cstheme="minorHAnsi"/>
                <w:bCs/>
                <w:lang w:val="es-CO"/>
              </w:rPr>
              <w:t>Gestión Documental : Secretaria Seccional</w:t>
            </w:r>
            <w:r w:rsidR="00D076DE">
              <w:rPr>
                <w:rFonts w:cstheme="minorHAnsi"/>
                <w:bCs/>
                <w:lang w:val="es-CO"/>
              </w:rPr>
              <w:t xml:space="preserve"> y Coordinadora </w:t>
            </w:r>
          </w:p>
          <w:p w:rsidR="00E43374" w:rsidRDefault="00E43374" w:rsidP="00E43374">
            <w:pPr>
              <w:tabs>
                <w:tab w:val="num" w:pos="720"/>
              </w:tabs>
              <w:rPr>
                <w:rFonts w:cstheme="minorHAnsi"/>
                <w:bCs/>
                <w:lang w:val="es-CO"/>
              </w:rPr>
            </w:pPr>
            <w:r>
              <w:rPr>
                <w:rFonts w:cstheme="minorHAnsi"/>
                <w:bCs/>
                <w:lang w:val="es-CO"/>
              </w:rPr>
              <w:lastRenderedPageBreak/>
              <w:t xml:space="preserve">Seguridad y salud en el trabajo: Jefe de Personal y Coordinadora </w:t>
            </w:r>
          </w:p>
          <w:p w:rsidR="00E43374" w:rsidRDefault="00E43374" w:rsidP="00E43374">
            <w:pPr>
              <w:tabs>
                <w:tab w:val="num" w:pos="720"/>
              </w:tabs>
              <w:rPr>
                <w:rFonts w:cstheme="minorHAnsi"/>
                <w:bCs/>
                <w:lang w:val="es-CO"/>
              </w:rPr>
            </w:pPr>
            <w:r>
              <w:rPr>
                <w:rFonts w:cstheme="minorHAnsi"/>
                <w:bCs/>
                <w:lang w:val="es-CO"/>
              </w:rPr>
              <w:t>Gestión ambiental: Jefe de Servicios Generales</w:t>
            </w:r>
          </w:p>
          <w:p w:rsidR="00E43374" w:rsidRDefault="00E43374" w:rsidP="00E43374">
            <w:pPr>
              <w:tabs>
                <w:tab w:val="num" w:pos="720"/>
              </w:tabs>
              <w:rPr>
                <w:rFonts w:cstheme="minorHAnsi"/>
                <w:bCs/>
                <w:lang w:val="es-CO"/>
              </w:rPr>
            </w:pPr>
            <w:r>
              <w:rPr>
                <w:rFonts w:cstheme="minorHAnsi"/>
                <w:bCs/>
                <w:lang w:val="es-CO"/>
              </w:rPr>
              <w:t>Seguridad en la información:  Director de Sistemas</w:t>
            </w:r>
          </w:p>
          <w:p w:rsidR="00E43374" w:rsidRPr="00D076DE" w:rsidRDefault="00E43374" w:rsidP="00D076DE">
            <w:pPr>
              <w:tabs>
                <w:tab w:val="num" w:pos="720"/>
              </w:tabs>
              <w:rPr>
                <w:rFonts w:cstheme="minorHAnsi"/>
                <w:bCs/>
                <w:lang w:val="es-CO"/>
              </w:rPr>
            </w:pPr>
            <w:r>
              <w:rPr>
                <w:rFonts w:cstheme="minorHAnsi"/>
                <w:bCs/>
                <w:lang w:val="es-CO"/>
              </w:rPr>
              <w:t>Habilitación de Consultorios:  Coordinadora de Salud y Desarrollo Humano</w:t>
            </w:r>
          </w:p>
        </w:tc>
      </w:tr>
      <w:tr w:rsidR="00985ECF" w:rsidRPr="00704578" w:rsidTr="000C4563">
        <w:tc>
          <w:tcPr>
            <w:tcW w:w="1844"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704578" w:rsidRDefault="00985ECF" w:rsidP="00B80025">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4F81BD" w:themeFill="accent1"/>
          </w:tcPr>
          <w:p w:rsidR="00985ECF" w:rsidRPr="00704578" w:rsidRDefault="00985ECF" w:rsidP="0003108E">
            <w:pPr>
              <w:jc w:val="both"/>
              <w:rPr>
                <w:rFonts w:ascii="Swis721 Lt BT" w:eastAsia="Times New Roman" w:hAnsi="Swis721 Lt BT" w:cs="Times New Roman"/>
                <w:sz w:val="24"/>
                <w:szCs w:val="24"/>
                <w:lang w:eastAsia="es-ES"/>
              </w:rPr>
            </w:pPr>
          </w:p>
        </w:tc>
      </w:tr>
      <w:tr w:rsidR="00B80025" w:rsidRPr="00704578" w:rsidTr="000C4563">
        <w:tc>
          <w:tcPr>
            <w:tcW w:w="1844" w:type="dxa"/>
            <w:tcBorders>
              <w:top w:val="single" w:sz="4" w:space="0" w:color="auto"/>
            </w:tcBorders>
            <w:shd w:val="clear" w:color="auto" w:fill="BFBFBF" w:themeFill="background1" w:themeFillShade="BF"/>
            <w:vAlign w:val="center"/>
          </w:tcPr>
          <w:p w:rsidR="00B80025" w:rsidRPr="00704578" w:rsidRDefault="00B80025"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Reporte a Entes Externos</w:t>
            </w:r>
          </w:p>
        </w:tc>
        <w:tc>
          <w:tcPr>
            <w:tcW w:w="8505" w:type="dxa"/>
            <w:tcBorders>
              <w:top w:val="single" w:sz="4" w:space="0" w:color="auto"/>
            </w:tcBorders>
          </w:tcPr>
          <w:p w:rsidR="002E0186" w:rsidRDefault="002E0186" w:rsidP="002E0186">
            <w:pPr>
              <w:shd w:val="clear" w:color="auto" w:fill="FFFFFF"/>
              <w:jc w:val="both"/>
            </w:pPr>
            <w:r w:rsidRPr="004E15B8">
              <w:rPr>
                <w:b/>
              </w:rPr>
              <w:t>SNIES</w:t>
            </w:r>
            <w:r>
              <w:t>: En lo que va corrido del año 2017 se viene cumpliendo estrictamente con los reportes al Ministerio de Educación Nacional de acuerdo a la resolución 20434 del MEN, para los aspectos de población estudiantil (Inscritos, Admitidos, matriculados, Primíparas, graduados).  A través de la nueva de la herramienta de cargue HECAA del Ministerio MEN, proceso que ha generado ciertas dificultades para el cargue de variables que tradicionalmente son reportas; a la fecha aún se continua haciendo ajustes y seguimiento conjuntamente con la mesa de ayuda del MEN.</w:t>
            </w:r>
          </w:p>
          <w:p w:rsidR="002E0186" w:rsidRDefault="002E0186" w:rsidP="002E0186">
            <w:pPr>
              <w:shd w:val="clear" w:color="auto" w:fill="FFFFFF"/>
              <w:jc w:val="both"/>
            </w:pPr>
            <w:r>
              <w:t>Reportes SNIES</w:t>
            </w:r>
          </w:p>
          <w:tbl>
            <w:tblPr>
              <w:tblStyle w:val="Tablaconcuadrcula"/>
              <w:tblW w:w="0" w:type="auto"/>
              <w:jc w:val="center"/>
              <w:tblLayout w:type="fixed"/>
              <w:tblLook w:val="04A0" w:firstRow="1" w:lastRow="0" w:firstColumn="1" w:lastColumn="0" w:noHBand="0" w:noVBand="1"/>
            </w:tblPr>
            <w:tblGrid>
              <w:gridCol w:w="2119"/>
              <w:gridCol w:w="2119"/>
            </w:tblGrid>
            <w:tr w:rsidR="002E0186" w:rsidTr="00344AB2">
              <w:trPr>
                <w:trHeight w:val="284"/>
                <w:jc w:val="center"/>
              </w:trPr>
              <w:tc>
                <w:tcPr>
                  <w:tcW w:w="2119" w:type="dxa"/>
                  <w:shd w:val="clear" w:color="auto" w:fill="D99594" w:themeFill="accent2" w:themeFillTint="99"/>
                </w:tcPr>
                <w:p w:rsidR="002E0186" w:rsidRDefault="002E0186" w:rsidP="002E0186">
                  <w:pPr>
                    <w:jc w:val="both"/>
                  </w:pPr>
                  <w:r>
                    <w:t>Reporte 2017-1</w:t>
                  </w:r>
                </w:p>
              </w:tc>
              <w:tc>
                <w:tcPr>
                  <w:tcW w:w="2119" w:type="dxa"/>
                  <w:shd w:val="clear" w:color="auto" w:fill="D99594" w:themeFill="accent2" w:themeFillTint="99"/>
                </w:tcPr>
                <w:p w:rsidR="002E0186" w:rsidRDefault="002E0186" w:rsidP="002E0186">
                  <w:pPr>
                    <w:jc w:val="both"/>
                  </w:pPr>
                  <w:r>
                    <w:t>Validación</w:t>
                  </w:r>
                </w:p>
              </w:tc>
            </w:tr>
            <w:tr w:rsidR="002E0186" w:rsidTr="00344AB2">
              <w:trPr>
                <w:trHeight w:val="268"/>
                <w:jc w:val="center"/>
              </w:trPr>
              <w:tc>
                <w:tcPr>
                  <w:tcW w:w="2119" w:type="dxa"/>
                </w:tcPr>
                <w:p w:rsidR="002E0186" w:rsidRDefault="002E0186" w:rsidP="002E0186">
                  <w:pPr>
                    <w:jc w:val="both"/>
                  </w:pPr>
                  <w:r>
                    <w:t>100%</w:t>
                  </w:r>
                </w:p>
              </w:tc>
              <w:tc>
                <w:tcPr>
                  <w:tcW w:w="2119" w:type="dxa"/>
                </w:tcPr>
                <w:p w:rsidR="002E0186" w:rsidRDefault="002E0186" w:rsidP="002E0186">
                  <w:pPr>
                    <w:jc w:val="both"/>
                  </w:pPr>
                  <w:r>
                    <w:t>90%</w:t>
                  </w:r>
                </w:p>
              </w:tc>
            </w:tr>
          </w:tbl>
          <w:p w:rsidR="002E0186" w:rsidRDefault="002E0186" w:rsidP="002E0186">
            <w:pPr>
              <w:jc w:val="both"/>
            </w:pPr>
            <w:r w:rsidRPr="004E15B8">
              <w:rPr>
                <w:b/>
              </w:rPr>
              <w:t>SACES</w:t>
            </w:r>
            <w:r>
              <w:t>: En el proceso de registro y reporte en la plataforma SACES MEN, se han procesado todas las solicitudes generadas por las Facultades, Dirección de Planeación y Rectoría, con respecto a visitas de pares y CNA Economía.</w:t>
            </w:r>
          </w:p>
          <w:p w:rsidR="002E0186" w:rsidRDefault="002E0186" w:rsidP="002E0186">
            <w:pPr>
              <w:jc w:val="both"/>
            </w:pPr>
          </w:p>
          <w:p w:rsidR="002E0186" w:rsidRDefault="002E0186" w:rsidP="002E0186">
            <w:pPr>
              <w:jc w:val="both"/>
            </w:pPr>
            <w:r w:rsidRPr="004E15B8">
              <w:rPr>
                <w:b/>
              </w:rPr>
              <w:t>SPADIES</w:t>
            </w:r>
            <w:r>
              <w:t>: En lo correspondiente a este periodo la institución está a la espera de la liberación de la nueva versión 3.0 para el reporte de la seccional.</w:t>
            </w:r>
          </w:p>
          <w:p w:rsidR="002E0186" w:rsidRDefault="002E0186" w:rsidP="002E0186">
            <w:pPr>
              <w:shd w:val="clear" w:color="auto" w:fill="FFFFFF"/>
              <w:jc w:val="both"/>
            </w:pPr>
            <w:r>
              <w:t>Reportes SPADIES</w:t>
            </w:r>
          </w:p>
          <w:p w:rsidR="002E0186" w:rsidRDefault="002E0186" w:rsidP="002E0186">
            <w:pPr>
              <w:jc w:val="both"/>
              <w:rPr>
                <w:b/>
              </w:rPr>
            </w:pPr>
          </w:p>
          <w:p w:rsidR="002E0186" w:rsidRDefault="002E0186" w:rsidP="002E0186">
            <w:pPr>
              <w:jc w:val="both"/>
            </w:pPr>
            <w:r w:rsidRPr="004E15B8">
              <w:rPr>
                <w:b/>
              </w:rPr>
              <w:t>OLE, (Observatorio Laboral de la Educación Superior)</w:t>
            </w:r>
            <w:r>
              <w:t xml:space="preserve"> Durante este trimestre del 2017 se ha seguido los lineamientos de la Rectoría Seccional sobre el diligenciamiento de la encuesta del MEN de toda la población estudiantil Graduada a la fecha (100%) y se ha socialización con la oficina de egresados   adscrita a Bienestar Universitario; lo mismo que con las diferentes facultades que han requerido de esta importante información para ser tenida en cuenta en los procesos de autoevaluación para registros calificados, igual que en los procesos de acreditación en alta calidad y  programas de mercadeo.</w:t>
            </w:r>
          </w:p>
          <w:p w:rsidR="002E0186" w:rsidRDefault="002E0186" w:rsidP="002E0186">
            <w:pPr>
              <w:jc w:val="both"/>
            </w:pPr>
          </w:p>
          <w:p w:rsidR="002E0186" w:rsidRDefault="002E0186" w:rsidP="002E0186">
            <w:pPr>
              <w:jc w:val="both"/>
            </w:pPr>
            <w:r w:rsidRPr="004E15B8">
              <w:rPr>
                <w:b/>
              </w:rPr>
              <w:t xml:space="preserve">Evaluación docente </w:t>
            </w:r>
            <w:r>
              <w:t xml:space="preserve">: Según lo establecido por el reglamento para  el  período; en los  programas  </w:t>
            </w:r>
            <w:proofErr w:type="spellStart"/>
            <w:r>
              <w:t>semestralizados</w:t>
            </w:r>
            <w:proofErr w:type="spellEnd"/>
            <w:r>
              <w:t xml:space="preserve">  en  los  meses  de  abril  y  mayo, Derecho  calendario  B  en  el  mes  de  mayo, se viene realizando el proceso.</w:t>
            </w:r>
          </w:p>
          <w:p w:rsidR="002E0186" w:rsidRDefault="002E0186" w:rsidP="002E0186">
            <w:pPr>
              <w:jc w:val="both"/>
            </w:pPr>
          </w:p>
          <w:p w:rsidR="002E0186" w:rsidRDefault="002E0186" w:rsidP="002E0186">
            <w:pPr>
              <w:jc w:val="both"/>
            </w:pPr>
            <w:r w:rsidRPr="004E15B8">
              <w:rPr>
                <w:b/>
              </w:rPr>
              <w:t>Pruebas Saber PRO</w:t>
            </w:r>
            <w:r>
              <w:t>: los resultados de 2016-2 son liberados a las instituciones el 22 de abril del presente año.</w:t>
            </w:r>
          </w:p>
          <w:p w:rsidR="00CD4555" w:rsidRDefault="00CD4555" w:rsidP="002E0186">
            <w:pPr>
              <w:jc w:val="both"/>
            </w:pPr>
          </w:p>
          <w:tbl>
            <w:tblPr>
              <w:tblW w:w="8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Fechas aplicación del examen de estado de calidad de la educación superior – Saber Profesionales -  Segundo Semestre de 2016"/>
            </w:tblPr>
            <w:tblGrid>
              <w:gridCol w:w="4248"/>
              <w:gridCol w:w="3777"/>
            </w:tblGrid>
            <w:tr w:rsidR="002E0186" w:rsidRPr="001963B4" w:rsidTr="00344AB2">
              <w:trPr>
                <w:tblHeader/>
                <w:jc w:val="center"/>
              </w:trPr>
              <w:tc>
                <w:tcPr>
                  <w:tcW w:w="4248" w:type="dxa"/>
                  <w:shd w:val="clear" w:color="auto" w:fill="943634" w:themeFill="accent2" w:themeFillShade="BF"/>
                  <w:tcMar>
                    <w:top w:w="75" w:type="dxa"/>
                    <w:left w:w="75" w:type="dxa"/>
                    <w:bottom w:w="75" w:type="dxa"/>
                    <w:right w:w="75" w:type="dxa"/>
                  </w:tcMar>
                  <w:vAlign w:val="bottom"/>
                  <w:hideMark/>
                </w:tcPr>
                <w:p w:rsidR="002E0186" w:rsidRPr="001963B4" w:rsidRDefault="002E0186" w:rsidP="002E0186">
                  <w:pPr>
                    <w:spacing w:after="0" w:line="225" w:lineRule="atLeast"/>
                    <w:jc w:val="center"/>
                    <w:rPr>
                      <w:rFonts w:ascii="Arial" w:eastAsia="Times New Roman" w:hAnsi="Arial" w:cs="Arial"/>
                      <w:color w:val="FFFFFF"/>
                      <w:sz w:val="16"/>
                      <w:szCs w:val="16"/>
                      <w:lang w:eastAsia="es-ES"/>
                    </w:rPr>
                  </w:pPr>
                  <w:r w:rsidRPr="001963B4">
                    <w:rPr>
                      <w:rFonts w:ascii="Arial" w:eastAsia="Times New Roman" w:hAnsi="Arial" w:cs="Arial"/>
                      <w:color w:val="FFFFFF"/>
                      <w:sz w:val="16"/>
                      <w:szCs w:val="16"/>
                      <w:lang w:eastAsia="es-ES"/>
                    </w:rPr>
                    <w:t>Descripción del Proceso</w:t>
                  </w:r>
                </w:p>
              </w:tc>
              <w:tc>
                <w:tcPr>
                  <w:tcW w:w="3777" w:type="dxa"/>
                  <w:shd w:val="clear" w:color="auto" w:fill="943634" w:themeFill="accent2" w:themeFillShade="BF"/>
                  <w:tcMar>
                    <w:top w:w="75" w:type="dxa"/>
                    <w:left w:w="75" w:type="dxa"/>
                    <w:bottom w:w="75" w:type="dxa"/>
                    <w:right w:w="75" w:type="dxa"/>
                  </w:tcMar>
                  <w:vAlign w:val="bottom"/>
                  <w:hideMark/>
                </w:tcPr>
                <w:p w:rsidR="002E0186" w:rsidRPr="001963B4" w:rsidRDefault="002E0186" w:rsidP="002E0186">
                  <w:pPr>
                    <w:spacing w:after="0" w:line="225" w:lineRule="atLeast"/>
                    <w:jc w:val="center"/>
                    <w:rPr>
                      <w:rFonts w:ascii="Arial" w:eastAsia="Times New Roman" w:hAnsi="Arial" w:cs="Arial"/>
                      <w:color w:val="FFFFFF"/>
                      <w:sz w:val="16"/>
                      <w:szCs w:val="16"/>
                      <w:lang w:eastAsia="es-ES"/>
                    </w:rPr>
                  </w:pPr>
                  <w:r w:rsidRPr="001963B4">
                    <w:rPr>
                      <w:rFonts w:ascii="Arial" w:eastAsia="Times New Roman" w:hAnsi="Arial" w:cs="Arial"/>
                      <w:color w:val="FFFFFF"/>
                      <w:sz w:val="16"/>
                      <w:szCs w:val="16"/>
                      <w:lang w:eastAsia="es-ES"/>
                    </w:rPr>
                    <w:t>Fecha</w:t>
                  </w:r>
                </w:p>
              </w:tc>
            </w:tr>
            <w:tr w:rsidR="002E0186" w:rsidRPr="001963B4" w:rsidTr="00344AB2">
              <w:trPr>
                <w:jc w:val="center"/>
              </w:trPr>
              <w:tc>
                <w:tcPr>
                  <w:tcW w:w="4248"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t>Publicación de resultados individuales en la página</w:t>
                  </w:r>
                </w:p>
              </w:tc>
              <w:tc>
                <w:tcPr>
                  <w:tcW w:w="3777"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t>18 de marzo de 2017</w:t>
                  </w:r>
                </w:p>
              </w:tc>
            </w:tr>
            <w:tr w:rsidR="002E0186" w:rsidRPr="001963B4" w:rsidTr="00344AB2">
              <w:trPr>
                <w:jc w:val="center"/>
              </w:trPr>
              <w:tc>
                <w:tcPr>
                  <w:tcW w:w="4248"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t>Publicación de resultados institucionales</w:t>
                  </w:r>
                </w:p>
              </w:tc>
              <w:tc>
                <w:tcPr>
                  <w:tcW w:w="3777"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t>22 de abril de 2017</w:t>
                  </w:r>
                </w:p>
              </w:tc>
            </w:tr>
            <w:tr w:rsidR="002E0186" w:rsidRPr="001963B4" w:rsidTr="00344AB2">
              <w:trPr>
                <w:jc w:val="center"/>
              </w:trPr>
              <w:tc>
                <w:tcPr>
                  <w:tcW w:w="4248"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lastRenderedPageBreak/>
                    <w:t>Plazo para interponer reclamos sobre resultados individuales</w:t>
                  </w:r>
                </w:p>
              </w:tc>
              <w:tc>
                <w:tcPr>
                  <w:tcW w:w="3777" w:type="dxa"/>
                  <w:shd w:val="clear" w:color="auto" w:fill="FFFFFF"/>
                  <w:tcMar>
                    <w:top w:w="75" w:type="dxa"/>
                    <w:left w:w="75" w:type="dxa"/>
                    <w:bottom w:w="75" w:type="dxa"/>
                    <w:right w:w="75" w:type="dxa"/>
                  </w:tcMar>
                  <w:vAlign w:val="bottom"/>
                  <w:hideMark/>
                </w:tcPr>
                <w:p w:rsidR="002E0186" w:rsidRPr="001963B4" w:rsidRDefault="002E0186" w:rsidP="002E0186">
                  <w:pPr>
                    <w:spacing w:after="0" w:line="270" w:lineRule="atLeast"/>
                    <w:textAlignment w:val="baseline"/>
                    <w:rPr>
                      <w:rFonts w:ascii="Arial" w:eastAsia="Times New Roman" w:hAnsi="Arial" w:cs="Arial"/>
                      <w:color w:val="000000"/>
                      <w:sz w:val="16"/>
                      <w:szCs w:val="16"/>
                      <w:lang w:eastAsia="es-ES"/>
                    </w:rPr>
                  </w:pPr>
                  <w:r w:rsidRPr="001963B4">
                    <w:rPr>
                      <w:rFonts w:ascii="Arial" w:eastAsia="Times New Roman" w:hAnsi="Arial" w:cs="Arial"/>
                      <w:color w:val="000000"/>
                      <w:sz w:val="16"/>
                      <w:szCs w:val="16"/>
                      <w:lang w:eastAsia="es-ES"/>
                    </w:rPr>
                    <w:t>Dentro de los dos (02) meses siguientes a la fecha de publicación de los resultados, inclusive.</w:t>
                  </w:r>
                </w:p>
              </w:tc>
            </w:tr>
            <w:tr w:rsidR="002E0186" w:rsidRPr="001963B4" w:rsidTr="00344AB2">
              <w:trPr>
                <w:trHeight w:val="390"/>
                <w:tblHeader/>
                <w:jc w:val="center"/>
              </w:trPr>
              <w:tc>
                <w:tcPr>
                  <w:tcW w:w="8025" w:type="dxa"/>
                  <w:gridSpan w:val="2"/>
                  <w:shd w:val="clear" w:color="auto" w:fill="943634" w:themeFill="accent2" w:themeFillShade="BF"/>
                  <w:tcMar>
                    <w:top w:w="75" w:type="dxa"/>
                    <w:left w:w="75" w:type="dxa"/>
                    <w:bottom w:w="75" w:type="dxa"/>
                    <w:right w:w="75" w:type="dxa"/>
                  </w:tcMar>
                  <w:vAlign w:val="center"/>
                  <w:hideMark/>
                </w:tcPr>
                <w:p w:rsidR="002E0186" w:rsidRPr="001963B4" w:rsidRDefault="002E0186" w:rsidP="002E0186">
                  <w:pPr>
                    <w:spacing w:after="0" w:line="240" w:lineRule="auto"/>
                    <w:textAlignment w:val="baseline"/>
                    <w:rPr>
                      <w:rFonts w:ascii="Arial" w:eastAsia="Times New Roman" w:hAnsi="Arial" w:cs="Arial"/>
                      <w:color w:val="FFFFFF" w:themeColor="background1"/>
                      <w:sz w:val="16"/>
                      <w:szCs w:val="16"/>
                      <w:lang w:eastAsia="es-ES"/>
                    </w:rPr>
                  </w:pPr>
                  <w:r w:rsidRPr="001963B4">
                    <w:rPr>
                      <w:rFonts w:ascii="Arial" w:eastAsia="Times New Roman" w:hAnsi="Arial" w:cs="Arial"/>
                      <w:b/>
                      <w:bCs/>
                      <w:color w:val="FFFFFF" w:themeColor="background1"/>
                      <w:sz w:val="16"/>
                      <w:szCs w:val="16"/>
                      <w:lang w:eastAsia="es-ES"/>
                    </w:rPr>
                    <w:t>Aplicación del examen de estado de calidad de la educación superior – Saber Profesionales -  Segundo Semestre de 2016</w:t>
                  </w:r>
                </w:p>
                <w:p w:rsidR="002E0186" w:rsidRPr="001963B4" w:rsidRDefault="002E0186" w:rsidP="002E0186">
                  <w:pPr>
                    <w:spacing w:after="0" w:line="240" w:lineRule="auto"/>
                    <w:textAlignment w:val="baseline"/>
                    <w:rPr>
                      <w:rFonts w:ascii="Arial" w:eastAsia="Times New Roman" w:hAnsi="Arial" w:cs="Arial"/>
                      <w:color w:val="3C3C3B"/>
                      <w:sz w:val="16"/>
                      <w:szCs w:val="16"/>
                      <w:lang w:eastAsia="es-ES"/>
                    </w:rPr>
                  </w:pPr>
                  <w:r w:rsidRPr="001963B4">
                    <w:rPr>
                      <w:rFonts w:ascii="Arial" w:eastAsia="Times New Roman" w:hAnsi="Arial" w:cs="Arial"/>
                      <w:color w:val="3C3C3B"/>
                      <w:sz w:val="16"/>
                      <w:szCs w:val="16"/>
                      <w:lang w:eastAsia="es-ES"/>
                    </w:rPr>
                    <w:t> </w:t>
                  </w:r>
                </w:p>
              </w:tc>
            </w:tr>
          </w:tbl>
          <w:p w:rsidR="00D076DE" w:rsidRPr="00704578" w:rsidRDefault="00D076DE" w:rsidP="00D076DE">
            <w:pPr>
              <w:jc w:val="both"/>
              <w:rPr>
                <w:rFonts w:ascii="Swis721 Lt BT" w:eastAsia="Times New Roman" w:hAnsi="Swis721 Lt BT" w:cs="Times New Roman"/>
                <w:sz w:val="24"/>
                <w:szCs w:val="24"/>
                <w:lang w:eastAsia="es-ES"/>
              </w:rPr>
            </w:pPr>
          </w:p>
        </w:tc>
      </w:tr>
      <w:tr w:rsidR="00985ECF" w:rsidRPr="00704578"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704578"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704578" w:rsidRDefault="00985ECF" w:rsidP="00704578">
            <w:pPr>
              <w:jc w:val="both"/>
              <w:rPr>
                <w:rFonts w:ascii="Swis721 Lt BT" w:eastAsia="Times New Roman" w:hAnsi="Swis721 Lt BT" w:cs="Times New Roman"/>
                <w:sz w:val="24"/>
                <w:szCs w:val="24"/>
                <w:lang w:eastAsia="es-ES"/>
              </w:rPr>
            </w:pPr>
          </w:p>
        </w:tc>
      </w:tr>
      <w:tr w:rsidR="00B80025" w:rsidRPr="00704578" w:rsidTr="00A42001">
        <w:tc>
          <w:tcPr>
            <w:tcW w:w="1844" w:type="dxa"/>
            <w:shd w:val="clear" w:color="auto" w:fill="BFBFBF" w:themeFill="background1" w:themeFillShade="BF"/>
            <w:vAlign w:val="center"/>
          </w:tcPr>
          <w:p w:rsidR="00B80025" w:rsidRPr="00704578" w:rsidRDefault="00B80025"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Gestión y Seguimiento del PIDI</w:t>
            </w:r>
          </w:p>
        </w:tc>
        <w:tc>
          <w:tcPr>
            <w:tcW w:w="8505" w:type="dxa"/>
            <w:shd w:val="clear" w:color="auto" w:fill="auto"/>
          </w:tcPr>
          <w:p w:rsidR="00B119D4" w:rsidRDefault="00B119D4" w:rsidP="00A42001">
            <w:pPr>
              <w:jc w:val="both"/>
              <w:rPr>
                <w:rFonts w:ascii="Arial" w:eastAsia="Times New Roman" w:hAnsi="Arial" w:cs="Arial"/>
                <w:b/>
                <w:sz w:val="24"/>
                <w:szCs w:val="24"/>
                <w:lang w:eastAsia="es-ES"/>
              </w:rPr>
            </w:pPr>
          </w:p>
          <w:p w:rsidR="00A42001" w:rsidRPr="00D65867" w:rsidRDefault="00A42001" w:rsidP="00A42001">
            <w:pPr>
              <w:jc w:val="both"/>
              <w:rPr>
                <w:rFonts w:ascii="Arial" w:eastAsia="Times New Roman" w:hAnsi="Arial" w:cs="Arial"/>
                <w:sz w:val="24"/>
                <w:szCs w:val="24"/>
                <w:lang w:eastAsia="es-ES"/>
              </w:rPr>
            </w:pPr>
          </w:p>
          <w:p w:rsidR="00A42001" w:rsidRPr="00D65867" w:rsidRDefault="00A42001" w:rsidP="00A42001">
            <w:pPr>
              <w:jc w:val="both"/>
              <w:rPr>
                <w:rFonts w:ascii="Arial" w:eastAsia="Times New Roman" w:hAnsi="Arial" w:cs="Arial"/>
                <w:sz w:val="24"/>
                <w:szCs w:val="24"/>
                <w:lang w:eastAsia="es-ES"/>
              </w:rPr>
            </w:pPr>
          </w:p>
          <w:p w:rsidR="00606400" w:rsidRPr="00D65867" w:rsidRDefault="00A42001" w:rsidP="00606400">
            <w:pPr>
              <w:jc w:val="both"/>
              <w:rPr>
                <w:rFonts w:ascii="Arial" w:eastAsia="Times New Roman" w:hAnsi="Arial" w:cs="Arial"/>
                <w:sz w:val="24"/>
                <w:szCs w:val="24"/>
                <w:lang w:eastAsia="es-ES"/>
              </w:rPr>
            </w:pPr>
            <w:r w:rsidRPr="00606400">
              <w:rPr>
                <w:rFonts w:ascii="Arial" w:eastAsia="Times New Roman" w:hAnsi="Arial" w:cs="Arial"/>
                <w:b/>
                <w:sz w:val="24"/>
                <w:szCs w:val="24"/>
                <w:lang w:eastAsia="es-ES"/>
              </w:rPr>
              <w:t>SEGUIMIENTOS</w:t>
            </w:r>
            <w:r w:rsidR="00606400" w:rsidRPr="00606400">
              <w:rPr>
                <w:rFonts w:ascii="Arial" w:eastAsia="Times New Roman" w:hAnsi="Arial" w:cs="Arial"/>
                <w:b/>
                <w:sz w:val="24"/>
                <w:szCs w:val="24"/>
                <w:lang w:eastAsia="es-ES"/>
              </w:rPr>
              <w:t xml:space="preserve"> AL PAT</w:t>
            </w:r>
            <w:r w:rsidR="00606400" w:rsidRPr="00D65867">
              <w:rPr>
                <w:rFonts w:ascii="Arial" w:eastAsia="Times New Roman" w:hAnsi="Arial" w:cs="Arial"/>
                <w:b/>
                <w:sz w:val="24"/>
                <w:szCs w:val="24"/>
                <w:lang w:eastAsia="es-ES"/>
              </w:rPr>
              <w:t xml:space="preserve"> y PAS</w:t>
            </w:r>
          </w:p>
          <w:p w:rsidR="00A42001" w:rsidRPr="00D65867" w:rsidRDefault="00A42001" w:rsidP="00A42001">
            <w:pPr>
              <w:jc w:val="both"/>
              <w:rPr>
                <w:rFonts w:ascii="Arial" w:eastAsia="Times New Roman" w:hAnsi="Arial" w:cs="Arial"/>
                <w:sz w:val="24"/>
                <w:szCs w:val="24"/>
                <w:lang w:eastAsia="es-ES"/>
              </w:rPr>
            </w:pPr>
          </w:p>
          <w:p w:rsidR="00B119D4" w:rsidRDefault="00B119D4"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r w:rsidRPr="00D65867">
              <w:rPr>
                <w:rFonts w:ascii="Arial" w:eastAsia="Times New Roman" w:hAnsi="Arial" w:cs="Arial"/>
                <w:color w:val="000000"/>
                <w:sz w:val="24"/>
                <w:szCs w:val="24"/>
                <w:lang w:eastAsia="es-ES"/>
              </w:rPr>
              <w:t xml:space="preserve">Se dio inicio a la recolección de información para los informes al Consejo Directivo. Todas las dependencias hicieron llegar sus informes con corte a 31 de </w:t>
            </w:r>
            <w:r w:rsidR="00B119D4" w:rsidRPr="00D65867">
              <w:rPr>
                <w:rFonts w:ascii="Arial" w:eastAsia="Times New Roman" w:hAnsi="Arial" w:cs="Arial"/>
                <w:color w:val="000000"/>
                <w:sz w:val="24"/>
                <w:szCs w:val="24"/>
                <w:lang w:eastAsia="es-ES"/>
              </w:rPr>
              <w:t>diciembre</w:t>
            </w:r>
            <w:r w:rsidRPr="00D65867">
              <w:rPr>
                <w:rFonts w:ascii="Arial" w:eastAsia="Times New Roman" w:hAnsi="Arial" w:cs="Arial"/>
                <w:color w:val="000000"/>
                <w:sz w:val="24"/>
                <w:szCs w:val="24"/>
                <w:lang w:eastAsia="es-ES"/>
              </w:rPr>
              <w:t xml:space="preserve"> del 2016.</w: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r w:rsidRPr="00D65867">
              <w:rPr>
                <w:rFonts w:ascii="Arial" w:eastAsia="Times New Roman" w:hAnsi="Arial" w:cs="Arial"/>
                <w:color w:val="000000"/>
                <w:sz w:val="24"/>
                <w:szCs w:val="24"/>
                <w:lang w:eastAsia="es-ES"/>
              </w:rPr>
              <w:t>Con la información recolectada de cada una de las dependencias, se hace la presentación final a Consejo Directivo. El informe se presentó en el consejo directivo que se celebró el viernes 3 de marzo de 2017.</w: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404217" w:rsidP="00A42001">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Con un equipo interdisciplinario de la Universidad, se presentó </w:t>
            </w:r>
            <w:r w:rsidR="00A42001" w:rsidRPr="00D65867">
              <w:rPr>
                <w:rFonts w:ascii="Arial" w:eastAsia="Times New Roman" w:hAnsi="Arial" w:cs="Arial"/>
                <w:color w:val="000000"/>
                <w:sz w:val="24"/>
                <w:szCs w:val="24"/>
                <w:lang w:eastAsia="es-ES"/>
              </w:rPr>
              <w:t>la fórmula de medición de Deserción</w:t>
            </w:r>
            <w:r w:rsidR="00765A35">
              <w:rPr>
                <w:rFonts w:ascii="Arial" w:eastAsia="Times New Roman" w:hAnsi="Arial" w:cs="Arial"/>
                <w:color w:val="000000"/>
                <w:sz w:val="24"/>
                <w:szCs w:val="24"/>
                <w:lang w:eastAsia="es-ES"/>
              </w:rPr>
              <w:t xml:space="preserve"> por periodo</w:t>
            </w:r>
            <w:r w:rsidR="00A42001" w:rsidRPr="00D65867">
              <w:rPr>
                <w:rFonts w:ascii="Arial" w:eastAsia="Times New Roman" w:hAnsi="Arial" w:cs="Arial"/>
                <w:color w:val="000000"/>
                <w:sz w:val="24"/>
                <w:szCs w:val="24"/>
                <w:lang w:eastAsia="es-ES"/>
              </w:rPr>
              <w:t>.</w: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r w:rsidRPr="00D65867">
              <w:rPr>
                <w:rFonts w:ascii="Arial" w:eastAsia="Times New Roman" w:hAnsi="Arial" w:cs="Arial"/>
                <w:color w:val="000000"/>
                <w:sz w:val="24"/>
                <w:szCs w:val="24"/>
                <w:lang w:eastAsia="es-ES"/>
              </w:rPr>
              <w:t>Se elaboró formatos de seguimiento al PAT 2017 con el respectivo presupuesto por cada uno de los 28 proyectos. Con dicho formato se espera llevar un informe detallado de las diferentes áreas de la Universidad, con lo cual se puedan presentar informes al Consejo Directivo.</w: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r w:rsidRPr="00D65867">
              <w:rPr>
                <w:rFonts w:ascii="Arial" w:eastAsia="Times New Roman" w:hAnsi="Arial" w:cs="Arial"/>
                <w:color w:val="000000"/>
                <w:sz w:val="24"/>
                <w:szCs w:val="24"/>
                <w:lang w:eastAsia="es-ES"/>
              </w:rPr>
              <w:t>El formato cuenta con las siguientes características:</w: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jc w:val="both"/>
              <w:rPr>
                <w:rFonts w:ascii="Arial" w:eastAsia="Times New Roman" w:hAnsi="Arial" w:cs="Arial"/>
                <w:color w:val="000000"/>
                <w:sz w:val="24"/>
                <w:szCs w:val="24"/>
                <w:lang w:eastAsia="es-ES"/>
              </w:rPr>
            </w:pPr>
            <w:r w:rsidRPr="00D65867">
              <w:rPr>
                <w:rFonts w:ascii="Arial" w:hAnsi="Arial" w:cs="Arial"/>
                <w:sz w:val="24"/>
                <w:szCs w:val="24"/>
              </w:rPr>
              <w:object w:dxaOrig="14520" w:dyaOrig="7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14.5pt" o:ole="">
                  <v:imagedata r:id="rId8" o:title=""/>
                </v:shape>
                <o:OLEObject Type="Embed" ProgID="PBrush" ShapeID="_x0000_i1025" DrawAspect="Content" ObjectID="_1555746728" r:id="rId9"/>
              </w:object>
            </w:r>
          </w:p>
          <w:p w:rsidR="00A42001" w:rsidRPr="00D65867" w:rsidRDefault="00A42001" w:rsidP="00A42001">
            <w:pPr>
              <w:jc w:val="both"/>
              <w:rPr>
                <w:rFonts w:ascii="Arial" w:eastAsia="Times New Roman" w:hAnsi="Arial" w:cs="Arial"/>
                <w:color w:val="000000"/>
                <w:sz w:val="24"/>
                <w:szCs w:val="24"/>
                <w:lang w:eastAsia="es-ES"/>
              </w:rPr>
            </w:pPr>
          </w:p>
          <w:p w:rsidR="00A42001" w:rsidRPr="00D65867" w:rsidRDefault="00A42001" w:rsidP="00A42001">
            <w:pPr>
              <w:pStyle w:val="Prrafodelista"/>
              <w:numPr>
                <w:ilvl w:val="0"/>
                <w:numId w:val="46"/>
              </w:numPr>
              <w:jc w:val="both"/>
              <w:rPr>
                <w:rFonts w:ascii="Arial" w:hAnsi="Arial" w:cs="Arial"/>
                <w:color w:val="000000"/>
              </w:rPr>
            </w:pPr>
            <w:r w:rsidRPr="00D65867">
              <w:rPr>
                <w:rFonts w:ascii="Arial" w:hAnsi="Arial" w:cs="Arial"/>
                <w:color w:val="000000"/>
              </w:rPr>
              <w:t>Un cuadro Acciones propuestas en el PAS 2015-1018.</w:t>
            </w:r>
          </w:p>
          <w:p w:rsidR="00A42001" w:rsidRPr="00D65867" w:rsidRDefault="00A42001" w:rsidP="00A42001">
            <w:pPr>
              <w:pStyle w:val="Prrafodelista"/>
              <w:numPr>
                <w:ilvl w:val="0"/>
                <w:numId w:val="46"/>
              </w:numPr>
              <w:jc w:val="both"/>
              <w:rPr>
                <w:rFonts w:ascii="Arial" w:hAnsi="Arial" w:cs="Arial"/>
                <w:color w:val="000000"/>
              </w:rPr>
            </w:pPr>
            <w:r w:rsidRPr="00D65867">
              <w:rPr>
                <w:rFonts w:ascii="Arial" w:hAnsi="Arial" w:cs="Arial"/>
                <w:color w:val="000000"/>
              </w:rPr>
              <w:t>Un cuadro Actividades las cuales se encuentran referenciadas en el PAT 2017.</w:t>
            </w:r>
          </w:p>
          <w:p w:rsidR="00A42001" w:rsidRPr="00D65867" w:rsidRDefault="00A42001" w:rsidP="00A42001">
            <w:pPr>
              <w:pStyle w:val="Prrafodelista"/>
              <w:numPr>
                <w:ilvl w:val="0"/>
                <w:numId w:val="46"/>
              </w:numPr>
              <w:jc w:val="both"/>
              <w:rPr>
                <w:rFonts w:ascii="Arial" w:hAnsi="Arial" w:cs="Arial"/>
                <w:color w:val="000000"/>
              </w:rPr>
            </w:pPr>
            <w:r w:rsidRPr="00D65867">
              <w:rPr>
                <w:rFonts w:ascii="Arial" w:hAnsi="Arial" w:cs="Arial"/>
                <w:color w:val="000000"/>
              </w:rPr>
              <w:t>Cada actividad cuanta con un recuadro donde el área encargada nos muestra los resultados e impactos alcanzados durante los trimestres del año.</w:t>
            </w:r>
          </w:p>
          <w:p w:rsidR="00A42001" w:rsidRPr="00D65867" w:rsidRDefault="00A42001" w:rsidP="00A42001">
            <w:pPr>
              <w:pStyle w:val="Prrafodelista"/>
              <w:numPr>
                <w:ilvl w:val="0"/>
                <w:numId w:val="46"/>
              </w:numPr>
              <w:jc w:val="both"/>
              <w:rPr>
                <w:rFonts w:ascii="Arial" w:hAnsi="Arial" w:cs="Arial"/>
                <w:color w:val="000000"/>
              </w:rPr>
            </w:pPr>
            <w:r w:rsidRPr="00D65867">
              <w:rPr>
                <w:rFonts w:ascii="Arial" w:hAnsi="Arial" w:cs="Arial"/>
                <w:color w:val="000000"/>
              </w:rPr>
              <w:t>Una barra de medición porcentual de la actividad que se desarrolló durante este periodo de tiempo.</w:t>
            </w:r>
          </w:p>
          <w:p w:rsidR="00A42001" w:rsidRPr="00D65867" w:rsidRDefault="00A42001" w:rsidP="00A42001">
            <w:pPr>
              <w:jc w:val="both"/>
              <w:rPr>
                <w:rFonts w:ascii="Arial" w:hAnsi="Arial" w:cs="Arial"/>
                <w:color w:val="000000"/>
                <w:sz w:val="24"/>
                <w:szCs w:val="24"/>
              </w:rPr>
            </w:pPr>
          </w:p>
          <w:p w:rsidR="00A42001" w:rsidRPr="00D65867" w:rsidRDefault="00A42001" w:rsidP="00A42001">
            <w:pPr>
              <w:jc w:val="both"/>
              <w:rPr>
                <w:rFonts w:ascii="Arial" w:hAnsi="Arial" w:cs="Arial"/>
                <w:color w:val="000000"/>
                <w:sz w:val="24"/>
                <w:szCs w:val="24"/>
              </w:rPr>
            </w:pPr>
            <w:r w:rsidRPr="00D65867">
              <w:rPr>
                <w:rFonts w:ascii="Arial" w:hAnsi="Arial" w:cs="Arial"/>
                <w:color w:val="000000"/>
                <w:sz w:val="24"/>
                <w:szCs w:val="24"/>
              </w:rPr>
              <w:t>Es importante aclarar que este cuadro incluye las METAS 2017 las cuales envió el departamento de planeación Nacional, las cuales después de la previa recolección de información de cada dependencia seccional se les hará seguimiento.</w:t>
            </w:r>
          </w:p>
          <w:p w:rsidR="00A42001" w:rsidRDefault="00A42001" w:rsidP="00A42001">
            <w:pPr>
              <w:jc w:val="both"/>
              <w:rPr>
                <w:rFonts w:ascii="Arial" w:hAnsi="Arial" w:cs="Arial"/>
                <w:color w:val="000000"/>
                <w:sz w:val="24"/>
                <w:szCs w:val="24"/>
              </w:rPr>
            </w:pPr>
            <w:r>
              <w:rPr>
                <w:rFonts w:ascii="Arial" w:hAnsi="Arial" w:cs="Arial"/>
                <w:color w:val="000000"/>
                <w:sz w:val="24"/>
                <w:szCs w:val="24"/>
              </w:rPr>
              <w:t>Desde la Dirección de Planeación y Apoyo PIDI en compañía de la Auditora Seccional, se realizó la capacitación a cada uno de los lideres PIDI en el modo de uso de este formato de seguimiento.</w:t>
            </w:r>
          </w:p>
          <w:p w:rsidR="00A42001" w:rsidRPr="00D65867" w:rsidRDefault="00A42001" w:rsidP="00A42001">
            <w:pPr>
              <w:jc w:val="both"/>
              <w:rPr>
                <w:rFonts w:ascii="Arial" w:hAnsi="Arial" w:cs="Arial"/>
                <w:color w:val="000000"/>
                <w:sz w:val="24"/>
                <w:szCs w:val="24"/>
              </w:rPr>
            </w:pPr>
          </w:p>
          <w:p w:rsidR="00E843E7" w:rsidRPr="00E843E7" w:rsidRDefault="00A42001" w:rsidP="00B80025">
            <w:pPr>
              <w:jc w:val="both"/>
              <w:rPr>
                <w:rFonts w:ascii="Arial" w:hAnsi="Arial" w:cs="Arial"/>
                <w:color w:val="000000"/>
                <w:sz w:val="24"/>
                <w:szCs w:val="24"/>
              </w:rPr>
            </w:pPr>
            <w:r w:rsidRPr="00D65867">
              <w:rPr>
                <w:rFonts w:ascii="Arial" w:hAnsi="Arial" w:cs="Arial"/>
                <w:color w:val="000000"/>
                <w:sz w:val="24"/>
                <w:szCs w:val="24"/>
              </w:rPr>
              <w:t>Con los resultados e impactos recolectados durante el primer trimestre, se elaborará el informe al Consejo Directivo en el mes de Mayo.</w:t>
            </w:r>
          </w:p>
        </w:tc>
      </w:tr>
      <w:tr w:rsidR="00985ECF" w:rsidRPr="00704578"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704578"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704578" w:rsidRDefault="00985ECF" w:rsidP="00704578">
            <w:pPr>
              <w:jc w:val="both"/>
              <w:rPr>
                <w:rFonts w:ascii="Swis721 Lt BT" w:eastAsia="Times New Roman" w:hAnsi="Swis721 Lt BT" w:cs="Times New Roman"/>
                <w:sz w:val="24"/>
                <w:szCs w:val="24"/>
                <w:lang w:eastAsia="es-ES"/>
              </w:rPr>
            </w:pPr>
          </w:p>
        </w:tc>
      </w:tr>
      <w:tr w:rsidR="00B80025" w:rsidRPr="00704578" w:rsidTr="00C828C2">
        <w:tc>
          <w:tcPr>
            <w:tcW w:w="1844" w:type="dxa"/>
            <w:shd w:val="clear" w:color="auto" w:fill="BFBFBF" w:themeFill="background1" w:themeFillShade="BF"/>
            <w:vAlign w:val="center"/>
          </w:tcPr>
          <w:p w:rsidR="00B80025" w:rsidRPr="00704578" w:rsidRDefault="00B80025"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 xml:space="preserve">Acreditación de Alta Calidad </w:t>
            </w:r>
          </w:p>
        </w:tc>
        <w:tc>
          <w:tcPr>
            <w:tcW w:w="8505" w:type="dxa"/>
            <w:shd w:val="clear" w:color="auto" w:fill="auto"/>
          </w:tcPr>
          <w:p w:rsidR="00C828C2" w:rsidRPr="004125BE" w:rsidRDefault="00C828C2" w:rsidP="00C828C2">
            <w:pPr>
              <w:tabs>
                <w:tab w:val="left" w:pos="3460"/>
              </w:tabs>
              <w:jc w:val="both"/>
              <w:rPr>
                <w:rFonts w:ascii="Swis721 Lt BT" w:eastAsia="Times New Roman" w:hAnsi="Swis721 Lt BT" w:cs="Times New Roman"/>
                <w:b/>
                <w:color w:val="FF0000"/>
                <w:sz w:val="24"/>
                <w:szCs w:val="24"/>
                <w:lang w:eastAsia="es-ES"/>
              </w:rPr>
            </w:pPr>
            <w:r w:rsidRPr="004125BE">
              <w:rPr>
                <w:rFonts w:ascii="Swis721 Lt BT" w:eastAsia="Times New Roman" w:hAnsi="Swis721 Lt BT" w:cs="Times New Roman"/>
                <w:b/>
                <w:color w:val="FF0000"/>
                <w:sz w:val="24"/>
                <w:szCs w:val="24"/>
                <w:lang w:eastAsia="es-ES"/>
              </w:rPr>
              <w:t>PROYECTO 07: AUTOEVALUACIÓN Y AUTORREGULACIÓN PARA LA MEJORA PERMANENTE DE LA CALIDAD ACADÉMICA</w:t>
            </w:r>
          </w:p>
          <w:p w:rsidR="00C828C2" w:rsidRDefault="00C828C2" w:rsidP="00C828C2">
            <w:pPr>
              <w:tabs>
                <w:tab w:val="left" w:pos="3460"/>
              </w:tabs>
              <w:jc w:val="both"/>
              <w:rPr>
                <w:rFonts w:ascii="Swis721 Lt BT" w:eastAsia="Times New Roman" w:hAnsi="Swis721 Lt BT" w:cs="Times New Roman"/>
                <w:b/>
                <w:sz w:val="24"/>
                <w:szCs w:val="24"/>
                <w:lang w:eastAsia="es-ES"/>
              </w:rPr>
            </w:pPr>
          </w:p>
          <w:p w:rsidR="00C828C2" w:rsidRDefault="00C828C2" w:rsidP="00C828C2">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b/>
                <w:sz w:val="24"/>
                <w:szCs w:val="24"/>
                <w:lang w:eastAsia="es-ES"/>
              </w:rPr>
              <w:t>Acreditación Institucional:</w:t>
            </w:r>
            <w:r>
              <w:rPr>
                <w:rFonts w:ascii="Swis721 Lt BT" w:eastAsia="Times New Roman" w:hAnsi="Swis721 Lt BT" w:cs="Times New Roman"/>
                <w:sz w:val="24"/>
                <w:szCs w:val="24"/>
                <w:lang w:eastAsia="es-ES"/>
              </w:rPr>
              <w:t xml:space="preserve">  </w:t>
            </w:r>
          </w:p>
          <w:p w:rsidR="00C828C2" w:rsidRDefault="00C828C2" w:rsidP="00C828C2">
            <w:pPr>
              <w:tabs>
                <w:tab w:val="left" w:pos="3460"/>
              </w:tabs>
              <w:jc w:val="both"/>
              <w:rPr>
                <w:rFonts w:ascii="Swis721 Lt BT" w:eastAsia="Times New Roman" w:hAnsi="Swis721 Lt BT" w:cs="Times New Roman"/>
                <w:sz w:val="24"/>
                <w:szCs w:val="24"/>
                <w:lang w:eastAsia="es-ES"/>
              </w:rPr>
            </w:pPr>
          </w:p>
          <w:p w:rsidR="00C828C2" w:rsidRDefault="00C828C2" w:rsidP="00C828C2">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lastRenderedPageBreak/>
              <w:t>En compañía con el equipo de acreditación institucional se ha venido trabajando en la reformulación del modelo de autoevaluación institucional, con el fin de garantizar que este responda a los retos de la universidad en el marco del proceso de renovación de la acreditación institucional, ya se cuenta con metodología para la autoevaluación de programas de pregrado y se están trabajando las herramientas de Maestrías y Doctorados, Especialidades Médicas y Acreditación Institucional.</w:t>
            </w:r>
          </w:p>
          <w:p w:rsidR="00C828C2" w:rsidRPr="004125BE" w:rsidRDefault="00C828C2" w:rsidP="00C828C2">
            <w:pPr>
              <w:tabs>
                <w:tab w:val="left" w:pos="3460"/>
              </w:tabs>
              <w:jc w:val="both"/>
              <w:rPr>
                <w:rFonts w:ascii="Swis721 Lt BT" w:eastAsia="Times New Roman" w:hAnsi="Swis721 Lt BT" w:cs="Times New Roman"/>
                <w:sz w:val="24"/>
                <w:szCs w:val="24"/>
                <w:lang w:eastAsia="es-ES"/>
              </w:rPr>
            </w:pPr>
          </w:p>
          <w:p w:rsidR="00C828C2" w:rsidRDefault="00C828C2" w:rsidP="00C828C2">
            <w:pPr>
              <w:tabs>
                <w:tab w:val="left" w:pos="3460"/>
              </w:tabs>
              <w:jc w:val="both"/>
              <w:rPr>
                <w:rFonts w:ascii="Swis721 Lt BT" w:eastAsia="Times New Roman" w:hAnsi="Swis721 Lt BT" w:cs="Times New Roman"/>
                <w:b/>
                <w:sz w:val="24"/>
                <w:szCs w:val="24"/>
                <w:lang w:eastAsia="es-ES"/>
              </w:rPr>
            </w:pPr>
            <w:r w:rsidRPr="00A1576E">
              <w:rPr>
                <w:rFonts w:ascii="Swis721 Lt BT" w:eastAsia="Times New Roman" w:hAnsi="Swis721 Lt BT" w:cs="Times New Roman"/>
                <w:b/>
                <w:sz w:val="24"/>
                <w:szCs w:val="24"/>
                <w:lang w:eastAsia="es-ES"/>
              </w:rPr>
              <w:t>Contaduría Pública</w:t>
            </w:r>
            <w:r>
              <w:rPr>
                <w:rFonts w:ascii="Swis721 Lt BT" w:eastAsia="Times New Roman" w:hAnsi="Swis721 Lt BT" w:cs="Times New Roman"/>
                <w:b/>
                <w:sz w:val="24"/>
                <w:szCs w:val="24"/>
                <w:lang w:eastAsia="es-ES"/>
              </w:rPr>
              <w:t xml:space="preserve">:  </w:t>
            </w:r>
          </w:p>
          <w:p w:rsidR="00C828C2" w:rsidRDefault="00C828C2" w:rsidP="00C828C2">
            <w:pPr>
              <w:tabs>
                <w:tab w:val="left" w:pos="3460"/>
              </w:tabs>
              <w:jc w:val="both"/>
              <w:rPr>
                <w:rFonts w:ascii="Swis721 Lt BT" w:eastAsia="Times New Roman" w:hAnsi="Swis721 Lt BT" w:cs="Times New Roman"/>
                <w:b/>
                <w:sz w:val="24"/>
                <w:szCs w:val="24"/>
                <w:lang w:eastAsia="es-ES"/>
              </w:rPr>
            </w:pPr>
          </w:p>
          <w:p w:rsidR="00C828C2" w:rsidRPr="00194B2D" w:rsidRDefault="00C828C2" w:rsidP="00C828C2">
            <w:pPr>
              <w:tabs>
                <w:tab w:val="left" w:pos="3460"/>
              </w:tabs>
              <w:jc w:val="both"/>
              <w:rPr>
                <w:rFonts w:ascii="Swis721 Lt BT" w:eastAsia="Times New Roman" w:hAnsi="Swis721 Lt BT" w:cs="Times New Roman"/>
                <w:sz w:val="24"/>
                <w:szCs w:val="24"/>
                <w:lang w:eastAsia="es-ES"/>
              </w:rPr>
            </w:pPr>
            <w:r w:rsidRPr="00194B2D">
              <w:rPr>
                <w:rFonts w:ascii="Swis721 Lt BT" w:eastAsia="Times New Roman" w:hAnsi="Swis721 Lt BT" w:cs="Times New Roman"/>
                <w:sz w:val="24"/>
                <w:szCs w:val="24"/>
                <w:lang w:eastAsia="es-ES"/>
              </w:rPr>
              <w:t xml:space="preserve">Se ha venido actualizando la información del documento en respuesta a las recomendaciones entregadas por la dirección nacional de acreditación, el documento será radicado en el siguiente ciclo dispuesto por el CNA el cual inicia en </w:t>
            </w:r>
            <w:r w:rsidR="00DE64F4" w:rsidRPr="00194B2D">
              <w:rPr>
                <w:rFonts w:ascii="Swis721 Lt BT" w:eastAsia="Times New Roman" w:hAnsi="Swis721 Lt BT" w:cs="Times New Roman"/>
                <w:sz w:val="24"/>
                <w:szCs w:val="24"/>
                <w:lang w:eastAsia="es-ES"/>
              </w:rPr>
              <w:t>mayo</w:t>
            </w:r>
            <w:r w:rsidRPr="00194B2D">
              <w:rPr>
                <w:rFonts w:ascii="Swis721 Lt BT" w:eastAsia="Times New Roman" w:hAnsi="Swis721 Lt BT" w:cs="Times New Roman"/>
                <w:sz w:val="24"/>
                <w:szCs w:val="24"/>
                <w:lang w:eastAsia="es-ES"/>
              </w:rPr>
              <w:t xml:space="preserve"> y culmina en </w:t>
            </w:r>
            <w:r w:rsidR="00DE64F4" w:rsidRPr="00194B2D">
              <w:rPr>
                <w:rFonts w:ascii="Swis721 Lt BT" w:eastAsia="Times New Roman" w:hAnsi="Swis721 Lt BT" w:cs="Times New Roman"/>
                <w:sz w:val="24"/>
                <w:szCs w:val="24"/>
                <w:lang w:eastAsia="es-ES"/>
              </w:rPr>
              <w:t>agosto</w:t>
            </w:r>
            <w:r w:rsidRPr="00194B2D">
              <w:rPr>
                <w:rFonts w:ascii="Swis721 Lt BT" w:eastAsia="Times New Roman" w:hAnsi="Swis721 Lt BT" w:cs="Times New Roman"/>
                <w:sz w:val="24"/>
                <w:szCs w:val="24"/>
                <w:lang w:eastAsia="es-ES"/>
              </w:rPr>
              <w:t xml:space="preserve"> del presente año.</w:t>
            </w:r>
          </w:p>
          <w:p w:rsidR="00C828C2" w:rsidRDefault="00C828C2" w:rsidP="00C828C2">
            <w:pPr>
              <w:tabs>
                <w:tab w:val="left" w:pos="3460"/>
              </w:tabs>
              <w:spacing w:line="360" w:lineRule="auto"/>
              <w:jc w:val="both"/>
              <w:rPr>
                <w:rFonts w:ascii="Swis721 Lt BT" w:eastAsia="Times New Roman" w:hAnsi="Swis721 Lt BT" w:cs="Times New Roman"/>
                <w:sz w:val="24"/>
                <w:szCs w:val="24"/>
                <w:lang w:eastAsia="es-ES"/>
              </w:rPr>
            </w:pPr>
          </w:p>
          <w:p w:rsidR="00C828C2" w:rsidRPr="00704578" w:rsidRDefault="00C828C2" w:rsidP="00C828C2">
            <w:pPr>
              <w:tabs>
                <w:tab w:val="left" w:pos="3460"/>
              </w:tabs>
              <w:spacing w:line="360" w:lineRule="auto"/>
              <w:jc w:val="both"/>
              <w:rPr>
                <w:rFonts w:ascii="Swis721 Lt BT" w:eastAsia="Times New Roman" w:hAnsi="Swis721 Lt BT" w:cs="Times New Roman"/>
                <w:sz w:val="24"/>
                <w:szCs w:val="24"/>
                <w:lang w:eastAsia="es-ES"/>
              </w:rPr>
            </w:pPr>
            <w:r w:rsidRPr="004125BE">
              <w:rPr>
                <w:rFonts w:ascii="Swis721 Lt BT" w:eastAsia="Times New Roman" w:hAnsi="Swis721 Lt BT" w:cs="Times New Roman"/>
                <w:b/>
                <w:sz w:val="24"/>
                <w:szCs w:val="24"/>
                <w:lang w:eastAsia="es-ES"/>
              </w:rPr>
              <w:t>Ingeniería Civil</w:t>
            </w:r>
            <w:r>
              <w:rPr>
                <w:rFonts w:ascii="Swis721 Lt BT" w:eastAsia="Times New Roman" w:hAnsi="Swis721 Lt BT" w:cs="Times New Roman"/>
                <w:sz w:val="24"/>
                <w:szCs w:val="24"/>
                <w:lang w:eastAsia="es-ES"/>
              </w:rPr>
              <w:t xml:space="preserve">:  </w:t>
            </w:r>
          </w:p>
          <w:p w:rsidR="00C828C2" w:rsidRPr="00194B2D" w:rsidRDefault="00C828C2" w:rsidP="00C828C2">
            <w:pPr>
              <w:tabs>
                <w:tab w:val="left" w:pos="3460"/>
              </w:tabs>
              <w:jc w:val="both"/>
              <w:rPr>
                <w:rFonts w:ascii="Swis721 Lt BT" w:eastAsia="Times New Roman" w:hAnsi="Swis721 Lt BT" w:cs="Times New Roman"/>
                <w:sz w:val="24"/>
                <w:szCs w:val="24"/>
                <w:lang w:eastAsia="es-ES"/>
              </w:rPr>
            </w:pPr>
            <w:r w:rsidRPr="00194B2D">
              <w:rPr>
                <w:rFonts w:ascii="Swis721 Lt BT" w:eastAsia="Times New Roman" w:hAnsi="Swis721 Lt BT" w:cs="Times New Roman"/>
                <w:sz w:val="24"/>
                <w:szCs w:val="24"/>
                <w:lang w:eastAsia="es-ES"/>
              </w:rPr>
              <w:t xml:space="preserve">Se ha venido actualizando la información del documento en respuesta a las </w:t>
            </w:r>
            <w:r>
              <w:rPr>
                <w:rFonts w:ascii="Swis721 Lt BT" w:eastAsia="Times New Roman" w:hAnsi="Swis721 Lt BT" w:cs="Times New Roman"/>
                <w:sz w:val="24"/>
                <w:szCs w:val="24"/>
                <w:lang w:eastAsia="es-ES"/>
              </w:rPr>
              <w:t>recomendaciones entregadas por el par colaborativo que visitó al programa durante el último trimestre de 2016</w:t>
            </w:r>
            <w:r w:rsidRPr="00194B2D">
              <w:rPr>
                <w:rFonts w:ascii="Swis721 Lt BT" w:eastAsia="Times New Roman" w:hAnsi="Swis721 Lt BT" w:cs="Times New Roman"/>
                <w:sz w:val="24"/>
                <w:szCs w:val="24"/>
                <w:lang w:eastAsia="es-ES"/>
              </w:rPr>
              <w:t xml:space="preserve">, el documento será radicado en el siguiente ciclo dispuesto por el CNA el cual inicia en </w:t>
            </w:r>
            <w:r w:rsidR="00DE64F4" w:rsidRPr="00194B2D">
              <w:rPr>
                <w:rFonts w:ascii="Swis721 Lt BT" w:eastAsia="Times New Roman" w:hAnsi="Swis721 Lt BT" w:cs="Times New Roman"/>
                <w:sz w:val="24"/>
                <w:szCs w:val="24"/>
                <w:lang w:eastAsia="es-ES"/>
              </w:rPr>
              <w:t>mayo</w:t>
            </w:r>
            <w:r w:rsidRPr="00194B2D">
              <w:rPr>
                <w:rFonts w:ascii="Swis721 Lt BT" w:eastAsia="Times New Roman" w:hAnsi="Swis721 Lt BT" w:cs="Times New Roman"/>
                <w:sz w:val="24"/>
                <w:szCs w:val="24"/>
                <w:lang w:eastAsia="es-ES"/>
              </w:rPr>
              <w:t xml:space="preserve"> y culmina en </w:t>
            </w:r>
            <w:r w:rsidR="00DE64F4" w:rsidRPr="00194B2D">
              <w:rPr>
                <w:rFonts w:ascii="Swis721 Lt BT" w:eastAsia="Times New Roman" w:hAnsi="Swis721 Lt BT" w:cs="Times New Roman"/>
                <w:sz w:val="24"/>
                <w:szCs w:val="24"/>
                <w:lang w:eastAsia="es-ES"/>
              </w:rPr>
              <w:t>agosto</w:t>
            </w:r>
            <w:r w:rsidRPr="00194B2D">
              <w:rPr>
                <w:rFonts w:ascii="Swis721 Lt BT" w:eastAsia="Times New Roman" w:hAnsi="Swis721 Lt BT" w:cs="Times New Roman"/>
                <w:sz w:val="24"/>
                <w:szCs w:val="24"/>
                <w:lang w:eastAsia="es-ES"/>
              </w:rPr>
              <w:t xml:space="preserve"> del presente año.</w:t>
            </w:r>
          </w:p>
          <w:p w:rsidR="00C828C2" w:rsidRDefault="00C828C2" w:rsidP="00C828C2">
            <w:pPr>
              <w:tabs>
                <w:tab w:val="left" w:pos="3460"/>
              </w:tabs>
              <w:spacing w:line="360" w:lineRule="auto"/>
              <w:jc w:val="both"/>
              <w:rPr>
                <w:rFonts w:ascii="Swis721 Lt BT" w:eastAsia="Times New Roman" w:hAnsi="Swis721 Lt BT" w:cs="Times New Roman"/>
                <w:b/>
                <w:sz w:val="24"/>
                <w:szCs w:val="24"/>
                <w:lang w:eastAsia="es-ES"/>
              </w:rPr>
            </w:pPr>
          </w:p>
          <w:p w:rsidR="00C828C2" w:rsidRPr="00704578" w:rsidRDefault="00C828C2" w:rsidP="00C828C2">
            <w:pPr>
              <w:tabs>
                <w:tab w:val="left" w:pos="3460"/>
              </w:tabs>
              <w:spacing w:line="360" w:lineRule="auto"/>
              <w:jc w:val="both"/>
              <w:rPr>
                <w:rFonts w:ascii="Swis721 Lt BT" w:eastAsia="Times New Roman" w:hAnsi="Swis721 Lt BT" w:cs="Times New Roman"/>
                <w:sz w:val="24"/>
                <w:szCs w:val="24"/>
                <w:lang w:eastAsia="es-ES"/>
              </w:rPr>
            </w:pPr>
            <w:r w:rsidRPr="004125BE">
              <w:rPr>
                <w:rFonts w:ascii="Swis721 Lt BT" w:eastAsia="Times New Roman" w:hAnsi="Swis721 Lt BT" w:cs="Times New Roman"/>
                <w:b/>
                <w:sz w:val="24"/>
                <w:szCs w:val="24"/>
                <w:lang w:eastAsia="es-ES"/>
              </w:rPr>
              <w:t>Economía</w:t>
            </w:r>
            <w:r>
              <w:rPr>
                <w:rFonts w:ascii="Swis721 Lt BT" w:eastAsia="Times New Roman" w:hAnsi="Swis721 Lt BT" w:cs="Times New Roman"/>
                <w:sz w:val="24"/>
                <w:szCs w:val="24"/>
                <w:lang w:eastAsia="es-ES"/>
              </w:rPr>
              <w:t xml:space="preserve">:  </w:t>
            </w:r>
          </w:p>
          <w:p w:rsidR="00C828C2" w:rsidRDefault="00C828C2" w:rsidP="00C828C2">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Se dio respuesta al informe de pares académicos que visitaron el programa, dicho informe presentó un balance positivo para el programa, siendo necesario fortalecer aspectos de investigación, extensión y visibilidad nacional e internacional.</w:t>
            </w:r>
          </w:p>
          <w:p w:rsidR="00C828C2" w:rsidRDefault="00C828C2" w:rsidP="00C828C2">
            <w:pPr>
              <w:tabs>
                <w:tab w:val="left" w:pos="3460"/>
              </w:tabs>
              <w:jc w:val="both"/>
              <w:rPr>
                <w:rFonts w:ascii="Swis721 Lt BT" w:eastAsia="Times New Roman" w:hAnsi="Swis721 Lt BT" w:cs="Times New Roman"/>
                <w:sz w:val="24"/>
                <w:szCs w:val="24"/>
                <w:lang w:eastAsia="es-ES"/>
              </w:rPr>
            </w:pPr>
          </w:p>
          <w:p w:rsidR="00C828C2" w:rsidRPr="004125BE" w:rsidRDefault="00C828C2" w:rsidP="00C828C2">
            <w:pPr>
              <w:tabs>
                <w:tab w:val="left" w:pos="3460"/>
              </w:tabs>
              <w:spacing w:line="360" w:lineRule="auto"/>
              <w:jc w:val="both"/>
              <w:rPr>
                <w:rFonts w:ascii="Swis721 Lt BT" w:eastAsia="Times New Roman" w:hAnsi="Swis721 Lt BT" w:cs="Times New Roman"/>
                <w:b/>
                <w:sz w:val="24"/>
                <w:szCs w:val="24"/>
                <w:lang w:eastAsia="es-ES"/>
              </w:rPr>
            </w:pPr>
            <w:r w:rsidRPr="004125BE">
              <w:rPr>
                <w:rFonts w:ascii="Swis721 Lt BT" w:eastAsia="Times New Roman" w:hAnsi="Swis721 Lt BT" w:cs="Times New Roman"/>
                <w:b/>
                <w:sz w:val="24"/>
                <w:szCs w:val="24"/>
                <w:lang w:eastAsia="es-ES"/>
              </w:rPr>
              <w:t>Enfermería</w:t>
            </w:r>
            <w:r>
              <w:rPr>
                <w:rFonts w:ascii="Swis721 Lt BT" w:eastAsia="Times New Roman" w:hAnsi="Swis721 Lt BT" w:cs="Times New Roman"/>
                <w:b/>
                <w:sz w:val="24"/>
                <w:szCs w:val="24"/>
                <w:lang w:eastAsia="es-ES"/>
              </w:rPr>
              <w:t>:</w:t>
            </w:r>
            <w:r w:rsidRPr="004125BE">
              <w:rPr>
                <w:rFonts w:ascii="Swis721 Lt BT" w:eastAsia="Times New Roman" w:hAnsi="Swis721 Lt BT" w:cs="Times New Roman"/>
                <w:b/>
                <w:sz w:val="24"/>
                <w:szCs w:val="24"/>
                <w:lang w:eastAsia="es-ES"/>
              </w:rPr>
              <w:t xml:space="preserve"> </w:t>
            </w:r>
          </w:p>
          <w:p w:rsidR="00C828C2" w:rsidRDefault="00C828C2" w:rsidP="00C828C2">
            <w:pPr>
              <w:tabs>
                <w:tab w:val="left" w:pos="3460"/>
              </w:tabs>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Durante el presente trimestre se recibió la visita de los pares académicos asignados por ARCUSUR y el CNA, con el fin de evaluar las condiciones para la obtención de la renovación de la acreditación del programa y de la obtención de la acreditación internacional, el balance de la visita fue positivo y el programa se encuentra a la espera de los comentarios de los pares académicos.</w:t>
            </w:r>
          </w:p>
          <w:p w:rsidR="00C828C2" w:rsidRDefault="00C828C2" w:rsidP="00C828C2">
            <w:pPr>
              <w:tabs>
                <w:tab w:val="left" w:pos="3460"/>
              </w:tabs>
              <w:spacing w:line="360" w:lineRule="auto"/>
              <w:jc w:val="both"/>
              <w:rPr>
                <w:rFonts w:ascii="Swis721 Lt BT" w:eastAsia="Times New Roman" w:hAnsi="Swis721 Lt BT" w:cs="Times New Roman"/>
                <w:sz w:val="24"/>
                <w:szCs w:val="24"/>
                <w:lang w:eastAsia="es-ES"/>
              </w:rPr>
            </w:pPr>
          </w:p>
          <w:p w:rsidR="00C828C2" w:rsidRPr="00CB7BC2" w:rsidRDefault="00C828C2" w:rsidP="00C828C2">
            <w:pPr>
              <w:tabs>
                <w:tab w:val="left" w:pos="3460"/>
              </w:tabs>
              <w:spacing w:line="360" w:lineRule="auto"/>
              <w:jc w:val="both"/>
              <w:rPr>
                <w:rFonts w:ascii="Swis721 Lt BT" w:eastAsia="Times New Roman" w:hAnsi="Swis721 Lt BT" w:cs="Times New Roman"/>
                <w:sz w:val="24"/>
                <w:szCs w:val="24"/>
                <w:lang w:eastAsia="es-ES"/>
              </w:rPr>
            </w:pPr>
            <w:r w:rsidRPr="00CB7BC2">
              <w:rPr>
                <w:rFonts w:ascii="Swis721 Lt BT" w:eastAsia="Times New Roman" w:hAnsi="Swis721 Lt BT" w:cs="Times New Roman"/>
                <w:b/>
                <w:sz w:val="24"/>
                <w:szCs w:val="24"/>
                <w:lang w:eastAsia="es-ES"/>
              </w:rPr>
              <w:t>Ingeniería Comercial</w:t>
            </w:r>
            <w:r>
              <w:rPr>
                <w:rFonts w:ascii="Swis721 Lt BT" w:eastAsia="Times New Roman" w:hAnsi="Swis721 Lt BT" w:cs="Times New Roman"/>
                <w:sz w:val="24"/>
                <w:szCs w:val="24"/>
                <w:lang w:eastAsia="es-ES"/>
              </w:rPr>
              <w:t xml:space="preserve">:  </w:t>
            </w:r>
          </w:p>
          <w:p w:rsidR="00C828C2" w:rsidRDefault="00C828C2" w:rsidP="00C828C2">
            <w:pPr>
              <w:tabs>
                <w:tab w:val="left" w:pos="3460"/>
              </w:tabs>
              <w:jc w:val="both"/>
              <w:rPr>
                <w:rFonts w:ascii="Swis721 Lt BT" w:eastAsia="Times New Roman" w:hAnsi="Swis721 Lt BT" w:cs="Times New Roman"/>
                <w:sz w:val="24"/>
                <w:szCs w:val="24"/>
                <w:lang w:eastAsia="es-ES"/>
              </w:rPr>
            </w:pPr>
            <w:r w:rsidRPr="00E91E50">
              <w:rPr>
                <w:rFonts w:ascii="Swis721 Lt BT" w:eastAsia="Times New Roman" w:hAnsi="Swis721 Lt BT" w:cs="Times New Roman"/>
                <w:sz w:val="24"/>
                <w:szCs w:val="24"/>
                <w:lang w:eastAsia="es-ES"/>
              </w:rPr>
              <w:lastRenderedPageBreak/>
              <w:t>Se continuó el proceso de recolección de información, se han aplicado encuestas a los miembros de los diferentes estamentos estudiantiles para culminar la recolección de la información y proceder a valorar el modelo y construir el documento final de renovación de la acreditación.</w:t>
            </w:r>
          </w:p>
          <w:p w:rsidR="00C828C2" w:rsidRPr="00E91E50" w:rsidRDefault="00C828C2" w:rsidP="00C828C2">
            <w:pPr>
              <w:tabs>
                <w:tab w:val="left" w:pos="3460"/>
              </w:tabs>
              <w:jc w:val="both"/>
              <w:rPr>
                <w:rFonts w:ascii="Swis721 Lt BT" w:eastAsia="Times New Roman" w:hAnsi="Swis721 Lt BT" w:cs="Times New Roman"/>
                <w:sz w:val="24"/>
                <w:szCs w:val="24"/>
                <w:lang w:eastAsia="es-ES"/>
              </w:rPr>
            </w:pPr>
          </w:p>
          <w:p w:rsidR="00C828C2" w:rsidRDefault="00C828C2" w:rsidP="00C828C2">
            <w:pPr>
              <w:tabs>
                <w:tab w:val="left" w:pos="3460"/>
              </w:tabs>
              <w:spacing w:line="360" w:lineRule="auto"/>
              <w:jc w:val="both"/>
              <w:rPr>
                <w:rFonts w:ascii="Swis721 Lt BT" w:eastAsia="Times New Roman" w:hAnsi="Swis721 Lt BT" w:cs="Times New Roman"/>
                <w:b/>
                <w:sz w:val="24"/>
                <w:szCs w:val="24"/>
                <w:lang w:eastAsia="es-ES"/>
              </w:rPr>
            </w:pPr>
            <w:r w:rsidRPr="00CB7BC2">
              <w:rPr>
                <w:rFonts w:ascii="Swis721 Lt BT" w:eastAsia="Times New Roman" w:hAnsi="Swis721 Lt BT" w:cs="Times New Roman"/>
                <w:b/>
                <w:sz w:val="24"/>
                <w:szCs w:val="24"/>
                <w:lang w:eastAsia="es-ES"/>
              </w:rPr>
              <w:t>Derecho</w:t>
            </w:r>
            <w:r>
              <w:rPr>
                <w:rFonts w:ascii="Swis721 Lt BT" w:eastAsia="Times New Roman" w:hAnsi="Swis721 Lt BT" w:cs="Times New Roman"/>
                <w:b/>
                <w:sz w:val="24"/>
                <w:szCs w:val="24"/>
                <w:lang w:eastAsia="es-ES"/>
              </w:rPr>
              <w:t>:</w:t>
            </w:r>
            <w:r>
              <w:rPr>
                <w:rFonts w:ascii="Swis721 Lt BT" w:eastAsia="Times New Roman" w:hAnsi="Swis721 Lt BT" w:cs="Times New Roman"/>
                <w:sz w:val="24"/>
                <w:szCs w:val="24"/>
                <w:lang w:eastAsia="es-ES"/>
              </w:rPr>
              <w:t xml:space="preserve">  </w:t>
            </w:r>
            <w:r>
              <w:rPr>
                <w:rFonts w:ascii="Swis721 Lt BT" w:eastAsia="Times New Roman" w:hAnsi="Swis721 Lt BT" w:cs="Times New Roman"/>
                <w:b/>
                <w:sz w:val="24"/>
                <w:szCs w:val="24"/>
                <w:lang w:eastAsia="es-ES"/>
              </w:rPr>
              <w:t xml:space="preserve"> </w:t>
            </w:r>
          </w:p>
          <w:p w:rsidR="00B80025" w:rsidRPr="00630706" w:rsidRDefault="00C828C2" w:rsidP="00C828C2">
            <w:pPr>
              <w:tabs>
                <w:tab w:val="left" w:pos="3460"/>
              </w:tabs>
              <w:spacing w:line="360" w:lineRule="auto"/>
              <w:jc w:val="both"/>
              <w:rPr>
                <w:rFonts w:ascii="Swis721 Lt BT" w:eastAsia="Times New Roman" w:hAnsi="Swis721 Lt BT" w:cs="Times New Roman"/>
                <w:b/>
                <w:sz w:val="24"/>
                <w:szCs w:val="24"/>
                <w:lang w:eastAsia="es-ES"/>
              </w:rPr>
            </w:pPr>
            <w:r w:rsidRPr="00E91E50">
              <w:rPr>
                <w:rFonts w:ascii="Swis721 Lt BT" w:eastAsia="Times New Roman" w:hAnsi="Swis721 Lt BT" w:cs="Times New Roman"/>
                <w:sz w:val="24"/>
                <w:szCs w:val="24"/>
                <w:lang w:eastAsia="es-ES"/>
              </w:rPr>
              <w:t>Se está llevando a cabo el proceso de autoevaluación, partiendo con el proceso de sensibilización a los miembros del comité de autoevaluación, ya se realizó el ejercicio de ponderación y está pendiente la consolidación y la realización de consensos, para una vez realizado proceder a recolectar la información en la matriz diseñada para tal fin.</w:t>
            </w:r>
          </w:p>
        </w:tc>
      </w:tr>
      <w:tr w:rsidR="00985ECF" w:rsidRPr="00704578" w:rsidTr="000C4563">
        <w:tc>
          <w:tcPr>
            <w:tcW w:w="1844" w:type="dxa"/>
            <w:tcBorders>
              <w:top w:val="single" w:sz="4" w:space="0" w:color="auto"/>
              <w:left w:val="single" w:sz="4" w:space="0" w:color="auto"/>
              <w:bottom w:val="single" w:sz="4" w:space="0" w:color="auto"/>
              <w:right w:val="nil"/>
            </w:tcBorders>
            <w:shd w:val="clear" w:color="auto" w:fill="0070C0"/>
            <w:vAlign w:val="center"/>
          </w:tcPr>
          <w:p w:rsidR="00985ECF" w:rsidRPr="00704578" w:rsidRDefault="00985ECF" w:rsidP="00704578">
            <w:pPr>
              <w:jc w:val="center"/>
              <w:rPr>
                <w:rFonts w:ascii="Swis721 Lt BT" w:eastAsia="Times New Roman" w:hAnsi="Swis721 Lt BT" w:cs="Times New Roman"/>
                <w:sz w:val="24"/>
                <w:szCs w:val="24"/>
                <w:lang w:eastAsia="es-ES"/>
              </w:rPr>
            </w:pPr>
          </w:p>
        </w:tc>
        <w:tc>
          <w:tcPr>
            <w:tcW w:w="8505" w:type="dxa"/>
            <w:tcBorders>
              <w:top w:val="single" w:sz="4" w:space="0" w:color="auto"/>
              <w:left w:val="nil"/>
              <w:bottom w:val="single" w:sz="4" w:space="0" w:color="auto"/>
              <w:right w:val="single" w:sz="4" w:space="0" w:color="auto"/>
            </w:tcBorders>
            <w:shd w:val="clear" w:color="auto" w:fill="0070C0"/>
          </w:tcPr>
          <w:p w:rsidR="00985ECF" w:rsidRPr="00704578" w:rsidRDefault="00985ECF" w:rsidP="00704578">
            <w:pPr>
              <w:jc w:val="both"/>
              <w:rPr>
                <w:rFonts w:ascii="Swis721 Lt BT" w:eastAsia="Times New Roman" w:hAnsi="Swis721 Lt BT" w:cs="Times New Roman"/>
                <w:sz w:val="24"/>
                <w:szCs w:val="24"/>
                <w:lang w:eastAsia="es-ES"/>
              </w:rPr>
            </w:pPr>
          </w:p>
        </w:tc>
      </w:tr>
      <w:tr w:rsidR="00B80025" w:rsidRPr="00704578" w:rsidTr="000C4563">
        <w:tc>
          <w:tcPr>
            <w:tcW w:w="1844" w:type="dxa"/>
            <w:shd w:val="clear" w:color="auto" w:fill="BFBFBF" w:themeFill="background1" w:themeFillShade="BF"/>
            <w:vAlign w:val="center"/>
          </w:tcPr>
          <w:p w:rsidR="00B80025" w:rsidRPr="00704578" w:rsidRDefault="00B80025" w:rsidP="00B80025">
            <w:pPr>
              <w:jc w:val="center"/>
              <w:rPr>
                <w:rFonts w:ascii="Swis721 Lt BT" w:eastAsia="Times New Roman" w:hAnsi="Swis721 Lt BT" w:cs="Times New Roman"/>
                <w:sz w:val="24"/>
                <w:szCs w:val="24"/>
                <w:lang w:eastAsia="es-ES"/>
              </w:rPr>
            </w:pPr>
            <w:r w:rsidRPr="00704578">
              <w:rPr>
                <w:rFonts w:ascii="Swis721 Lt BT" w:eastAsia="Times New Roman" w:hAnsi="Swis721 Lt BT" w:cs="Times New Roman"/>
                <w:sz w:val="24"/>
                <w:szCs w:val="24"/>
                <w:lang w:eastAsia="es-ES"/>
              </w:rPr>
              <w:t>Aseguramiento de la Calidad Académica</w:t>
            </w:r>
          </w:p>
        </w:tc>
        <w:tc>
          <w:tcPr>
            <w:tcW w:w="8505" w:type="dxa"/>
          </w:tcPr>
          <w:p w:rsidR="00B15E80" w:rsidRDefault="00B15E80" w:rsidP="00B15E80">
            <w:pPr>
              <w:spacing w:line="360" w:lineRule="auto"/>
              <w:jc w:val="both"/>
              <w:rPr>
                <w:rFonts w:ascii="Swis721 Lt BT" w:eastAsia="Times New Roman" w:hAnsi="Swis721 Lt BT" w:cs="Times New Roman"/>
                <w:b/>
                <w:sz w:val="24"/>
                <w:szCs w:val="24"/>
                <w:lang w:eastAsia="es-ES"/>
              </w:rPr>
            </w:pPr>
            <w:r>
              <w:rPr>
                <w:rFonts w:ascii="Swis721 Lt BT" w:eastAsia="Times New Roman" w:hAnsi="Swis721 Lt BT" w:cs="Times New Roman"/>
                <w:b/>
                <w:sz w:val="24"/>
                <w:szCs w:val="24"/>
                <w:lang w:eastAsia="es-ES"/>
              </w:rPr>
              <w:t>Programas de pregrado con documento maestro presentado a CONACES y pendiente de Resolución:</w:t>
            </w:r>
          </w:p>
          <w:p w:rsidR="00B15E80" w:rsidRPr="00FB2D69" w:rsidRDefault="00B15E80" w:rsidP="00B15E80">
            <w:pPr>
              <w:pStyle w:val="Prrafodelista"/>
              <w:numPr>
                <w:ilvl w:val="0"/>
                <w:numId w:val="45"/>
              </w:numPr>
              <w:spacing w:line="360" w:lineRule="auto"/>
              <w:jc w:val="both"/>
              <w:rPr>
                <w:rFonts w:ascii="Swis721 Lt BT" w:hAnsi="Swis721 Lt BT"/>
                <w:b/>
              </w:rPr>
            </w:pPr>
            <w:r>
              <w:rPr>
                <w:rFonts w:ascii="Swis721 Lt BT" w:hAnsi="Swis721 Lt BT"/>
              </w:rPr>
              <w:t>Ingeniería Civil</w:t>
            </w:r>
          </w:p>
          <w:p w:rsidR="00B15E80" w:rsidRPr="00FB2D69" w:rsidRDefault="00B15E80" w:rsidP="00B15E80">
            <w:pPr>
              <w:pStyle w:val="Prrafodelista"/>
              <w:numPr>
                <w:ilvl w:val="0"/>
                <w:numId w:val="45"/>
              </w:numPr>
              <w:spacing w:line="360" w:lineRule="auto"/>
              <w:jc w:val="both"/>
              <w:rPr>
                <w:rFonts w:ascii="Swis721 Lt BT" w:hAnsi="Swis721 Lt BT"/>
                <w:b/>
              </w:rPr>
            </w:pPr>
            <w:r>
              <w:rPr>
                <w:rFonts w:ascii="Swis721 Lt BT" w:hAnsi="Swis721 Lt BT"/>
              </w:rPr>
              <w:t>Ingeniería de Sistemas</w:t>
            </w:r>
          </w:p>
          <w:p w:rsidR="00B15E80" w:rsidRPr="00FB2D69" w:rsidRDefault="00B15E80" w:rsidP="00B15E80">
            <w:pPr>
              <w:pStyle w:val="Prrafodelista"/>
              <w:numPr>
                <w:ilvl w:val="0"/>
                <w:numId w:val="45"/>
              </w:numPr>
              <w:spacing w:line="360" w:lineRule="auto"/>
              <w:jc w:val="both"/>
              <w:rPr>
                <w:rFonts w:ascii="Swis721 Lt BT" w:hAnsi="Swis721 Lt BT"/>
              </w:rPr>
            </w:pPr>
            <w:r w:rsidRPr="00FB2D69">
              <w:rPr>
                <w:rFonts w:ascii="Swis721 Lt BT" w:hAnsi="Swis721 Lt BT"/>
              </w:rPr>
              <w:t>Microbiología</w:t>
            </w:r>
          </w:p>
          <w:p w:rsidR="00B15E80" w:rsidRDefault="00B15E80" w:rsidP="00B15E80">
            <w:pPr>
              <w:spacing w:line="360" w:lineRule="auto"/>
              <w:jc w:val="both"/>
              <w:rPr>
                <w:rFonts w:ascii="Swis721 Lt BT" w:eastAsia="Times New Roman" w:hAnsi="Swis721 Lt BT" w:cs="Times New Roman"/>
                <w:b/>
                <w:sz w:val="24"/>
                <w:szCs w:val="24"/>
                <w:lang w:eastAsia="es-ES"/>
              </w:rPr>
            </w:pPr>
          </w:p>
          <w:p w:rsidR="00B15E80" w:rsidRDefault="00B15E80" w:rsidP="00B15E80">
            <w:pPr>
              <w:spacing w:line="360" w:lineRule="auto"/>
              <w:jc w:val="both"/>
              <w:rPr>
                <w:rFonts w:ascii="Swis721 Lt BT" w:eastAsia="Times New Roman" w:hAnsi="Swis721 Lt BT" w:cs="Times New Roman"/>
                <w:sz w:val="24"/>
                <w:szCs w:val="24"/>
                <w:lang w:eastAsia="es-ES"/>
              </w:rPr>
            </w:pPr>
            <w:r w:rsidRPr="00E256AA">
              <w:rPr>
                <w:rFonts w:ascii="Swis721 Lt BT" w:eastAsia="Times New Roman" w:hAnsi="Swis721 Lt BT" w:cs="Times New Roman"/>
                <w:b/>
                <w:sz w:val="24"/>
                <w:szCs w:val="24"/>
                <w:lang w:eastAsia="es-ES"/>
              </w:rPr>
              <w:t>Programas de pregrado en proceso de autoevaluación con fines de renovación de registro calificado</w:t>
            </w:r>
            <w:r>
              <w:rPr>
                <w:rFonts w:ascii="Swis721 Lt BT" w:eastAsia="Times New Roman" w:hAnsi="Swis721 Lt BT" w:cs="Times New Roman"/>
                <w:sz w:val="24"/>
                <w:szCs w:val="24"/>
                <w:lang w:eastAsia="es-ES"/>
              </w:rPr>
              <w:t xml:space="preserve">: </w:t>
            </w:r>
          </w:p>
          <w:p w:rsidR="00B15E80" w:rsidRPr="00E256AA" w:rsidRDefault="00B15E80" w:rsidP="00B15E80">
            <w:pPr>
              <w:pStyle w:val="Prrafodelista"/>
              <w:numPr>
                <w:ilvl w:val="0"/>
                <w:numId w:val="44"/>
              </w:numPr>
              <w:spacing w:line="360" w:lineRule="auto"/>
              <w:jc w:val="both"/>
              <w:rPr>
                <w:rFonts w:ascii="Swis721 Lt BT" w:hAnsi="Swis721 Lt BT"/>
              </w:rPr>
            </w:pPr>
            <w:r w:rsidRPr="00E256AA">
              <w:rPr>
                <w:rFonts w:ascii="Swis721 Lt BT" w:hAnsi="Swis721 Lt BT"/>
              </w:rPr>
              <w:t>Ingeniería Financiera.</w:t>
            </w:r>
          </w:p>
          <w:p w:rsidR="00B15E80" w:rsidRDefault="00B15E80" w:rsidP="00B15E80">
            <w:pPr>
              <w:spacing w:line="360" w:lineRule="auto"/>
              <w:jc w:val="both"/>
              <w:rPr>
                <w:rFonts w:ascii="Swis721 Lt BT" w:eastAsia="Times New Roman" w:hAnsi="Swis721 Lt BT" w:cs="Times New Roman"/>
                <w:sz w:val="24"/>
                <w:szCs w:val="24"/>
                <w:lang w:eastAsia="es-ES"/>
              </w:rPr>
            </w:pPr>
          </w:p>
          <w:p w:rsidR="00B15E80" w:rsidRDefault="00B15E80" w:rsidP="00B15E80">
            <w:pPr>
              <w:spacing w:line="360" w:lineRule="auto"/>
              <w:jc w:val="both"/>
              <w:rPr>
                <w:rFonts w:ascii="Swis721 Lt BT" w:eastAsia="Times New Roman" w:hAnsi="Swis721 Lt BT" w:cs="Times New Roman"/>
                <w:sz w:val="24"/>
                <w:szCs w:val="24"/>
                <w:lang w:eastAsia="es-ES"/>
              </w:rPr>
            </w:pPr>
            <w:r>
              <w:rPr>
                <w:rFonts w:ascii="Swis721 Lt BT" w:eastAsia="Times New Roman" w:hAnsi="Swis721 Lt BT" w:cs="Times New Roman"/>
                <w:sz w:val="24"/>
                <w:szCs w:val="24"/>
                <w:lang w:eastAsia="es-ES"/>
              </w:rPr>
              <w:t>Programas de posgrado que iniciaron durante el primer trimestre del presente año proceso de autoevaluación con fines de renovación de registro calificado:</w:t>
            </w:r>
          </w:p>
          <w:p w:rsidR="00B15E80" w:rsidRPr="001A639B" w:rsidRDefault="00B15E80" w:rsidP="00B15E80">
            <w:pPr>
              <w:spacing w:line="360" w:lineRule="auto"/>
              <w:jc w:val="both"/>
              <w:rPr>
                <w:rFonts w:ascii="Swis721 Lt BT" w:eastAsia="Times New Roman" w:hAnsi="Swis721 Lt BT" w:cs="Times New Roman"/>
                <w:b/>
                <w:sz w:val="24"/>
                <w:szCs w:val="24"/>
                <w:lang w:eastAsia="es-ES"/>
              </w:rPr>
            </w:pPr>
            <w:r w:rsidRPr="001A639B">
              <w:rPr>
                <w:rFonts w:ascii="Swis721 Lt BT" w:eastAsia="Times New Roman" w:hAnsi="Swis721 Lt BT" w:cs="Times New Roman"/>
                <w:b/>
                <w:sz w:val="24"/>
                <w:szCs w:val="24"/>
                <w:lang w:eastAsia="es-ES"/>
              </w:rPr>
              <w:t>Facultad de Derecho</w:t>
            </w:r>
          </w:p>
          <w:p w:rsidR="00B15E80" w:rsidRDefault="00B15E80" w:rsidP="00B15E80">
            <w:pPr>
              <w:pStyle w:val="Prrafodelista"/>
              <w:numPr>
                <w:ilvl w:val="0"/>
                <w:numId w:val="44"/>
              </w:numPr>
              <w:spacing w:line="360" w:lineRule="auto"/>
              <w:jc w:val="both"/>
              <w:rPr>
                <w:rFonts w:ascii="Swis721 Lt BT" w:hAnsi="Swis721 Lt BT"/>
              </w:rPr>
            </w:pPr>
            <w:r>
              <w:rPr>
                <w:rFonts w:ascii="Swis721 Lt BT" w:hAnsi="Swis721 Lt BT"/>
              </w:rPr>
              <w:t>Especialización de Derecho Penal</w:t>
            </w:r>
          </w:p>
          <w:p w:rsidR="00B15E80" w:rsidRDefault="00B15E80" w:rsidP="00B15E80">
            <w:pPr>
              <w:pStyle w:val="Prrafodelista"/>
              <w:numPr>
                <w:ilvl w:val="0"/>
                <w:numId w:val="44"/>
              </w:numPr>
              <w:spacing w:line="360" w:lineRule="auto"/>
              <w:jc w:val="both"/>
              <w:rPr>
                <w:rFonts w:ascii="Swis721 Lt BT" w:hAnsi="Swis721 Lt BT"/>
              </w:rPr>
            </w:pPr>
            <w:r>
              <w:rPr>
                <w:rFonts w:ascii="Swis721 Lt BT" w:hAnsi="Swis721 Lt BT"/>
              </w:rPr>
              <w:t>Especialización en Derecho Administrativo</w:t>
            </w:r>
          </w:p>
          <w:p w:rsidR="00B15E80" w:rsidRDefault="00B15E80" w:rsidP="00B15E80">
            <w:pPr>
              <w:pStyle w:val="Prrafodelista"/>
              <w:numPr>
                <w:ilvl w:val="0"/>
                <w:numId w:val="44"/>
              </w:numPr>
              <w:spacing w:line="360" w:lineRule="auto"/>
              <w:jc w:val="both"/>
              <w:rPr>
                <w:rFonts w:ascii="Swis721 Lt BT" w:hAnsi="Swis721 Lt BT"/>
              </w:rPr>
            </w:pPr>
            <w:r>
              <w:rPr>
                <w:rFonts w:ascii="Swis721 Lt BT" w:hAnsi="Swis721 Lt BT"/>
              </w:rPr>
              <w:t>Especialización en Derecho Constitucional</w:t>
            </w:r>
          </w:p>
          <w:p w:rsidR="00B15E80" w:rsidRDefault="00B15E80" w:rsidP="00B15E80">
            <w:pPr>
              <w:pStyle w:val="Prrafodelista"/>
              <w:spacing w:line="360" w:lineRule="auto"/>
              <w:ind w:left="360"/>
              <w:jc w:val="both"/>
              <w:rPr>
                <w:rFonts w:ascii="Swis721 Lt BT" w:hAnsi="Swis721 Lt BT"/>
              </w:rPr>
            </w:pPr>
          </w:p>
          <w:p w:rsidR="00B15E80" w:rsidRPr="001A639B" w:rsidRDefault="00B15E80" w:rsidP="00B15E80">
            <w:pPr>
              <w:spacing w:line="360" w:lineRule="auto"/>
              <w:jc w:val="both"/>
              <w:rPr>
                <w:rFonts w:ascii="Swis721 Lt BT" w:hAnsi="Swis721 Lt BT"/>
                <w:b/>
              </w:rPr>
            </w:pPr>
            <w:r w:rsidRPr="001A639B">
              <w:rPr>
                <w:rFonts w:ascii="Swis721 Lt BT" w:hAnsi="Swis721 Lt BT"/>
                <w:b/>
              </w:rPr>
              <w:lastRenderedPageBreak/>
              <w:t>Facultad de Ciencias Económicas, Administrativas y Contables</w:t>
            </w:r>
          </w:p>
          <w:p w:rsidR="00B15E80" w:rsidRDefault="00B15E80" w:rsidP="00B15E80">
            <w:pPr>
              <w:pStyle w:val="Prrafodelista"/>
              <w:numPr>
                <w:ilvl w:val="0"/>
                <w:numId w:val="44"/>
              </w:numPr>
              <w:spacing w:line="360" w:lineRule="auto"/>
              <w:jc w:val="both"/>
              <w:rPr>
                <w:rFonts w:ascii="Swis721 Lt BT" w:hAnsi="Swis721 Lt BT"/>
              </w:rPr>
            </w:pPr>
            <w:r>
              <w:rPr>
                <w:rFonts w:ascii="Swis721 Lt BT" w:hAnsi="Swis721 Lt BT"/>
              </w:rPr>
              <w:t>Especialización en Alta Gerencia</w:t>
            </w:r>
          </w:p>
          <w:p w:rsidR="00B15E80" w:rsidRDefault="00B15E80" w:rsidP="00B15E80">
            <w:pPr>
              <w:spacing w:line="360" w:lineRule="auto"/>
              <w:jc w:val="both"/>
              <w:rPr>
                <w:rFonts w:ascii="Swis721 Lt BT" w:hAnsi="Swis721 Lt BT"/>
              </w:rPr>
            </w:pPr>
          </w:p>
          <w:p w:rsidR="00B15E80" w:rsidRDefault="00B15E80" w:rsidP="00B15E80">
            <w:pPr>
              <w:spacing w:line="360" w:lineRule="auto"/>
              <w:jc w:val="both"/>
              <w:rPr>
                <w:rFonts w:ascii="Swis721 Lt BT" w:hAnsi="Swis721 Lt BT"/>
                <w:b/>
              </w:rPr>
            </w:pPr>
            <w:r w:rsidRPr="007B2EB3">
              <w:rPr>
                <w:rFonts w:ascii="Swis721 Lt BT" w:hAnsi="Swis721 Lt BT"/>
                <w:b/>
              </w:rPr>
              <w:t>Facultad de Ciencias de la Salud</w:t>
            </w:r>
          </w:p>
          <w:p w:rsidR="00B15E80" w:rsidRDefault="00B15E80" w:rsidP="00B15E80">
            <w:pPr>
              <w:pStyle w:val="Prrafodelista"/>
              <w:numPr>
                <w:ilvl w:val="0"/>
                <w:numId w:val="44"/>
              </w:numPr>
              <w:spacing w:line="360" w:lineRule="auto"/>
              <w:jc w:val="both"/>
              <w:rPr>
                <w:rFonts w:ascii="Swis721 Lt BT" w:hAnsi="Swis721 Lt BT"/>
              </w:rPr>
            </w:pPr>
            <w:r w:rsidRPr="007B2EB3">
              <w:rPr>
                <w:rFonts w:ascii="Swis721 Lt BT" w:hAnsi="Swis721 Lt BT"/>
              </w:rPr>
              <w:t>Seguridad y Salud en el Trabajo, Gerencia y Control de Riesgos</w:t>
            </w:r>
            <w:r>
              <w:rPr>
                <w:rFonts w:ascii="Swis721 Lt BT" w:hAnsi="Swis721 Lt BT"/>
              </w:rPr>
              <w:t>.</w:t>
            </w:r>
          </w:p>
          <w:p w:rsidR="00B15E80" w:rsidRDefault="00B15E80" w:rsidP="00B15E80">
            <w:pPr>
              <w:spacing w:line="360" w:lineRule="auto"/>
              <w:jc w:val="both"/>
              <w:rPr>
                <w:rFonts w:ascii="Swis721 Lt BT" w:hAnsi="Swis721 Lt BT"/>
              </w:rPr>
            </w:pPr>
          </w:p>
          <w:p w:rsidR="00B15E80" w:rsidRPr="000D0397" w:rsidRDefault="00B15E80" w:rsidP="00B15E80">
            <w:pPr>
              <w:spacing w:line="273" w:lineRule="auto"/>
              <w:ind w:right="71"/>
              <w:jc w:val="both"/>
              <w:rPr>
                <w:rFonts w:ascii="Arial" w:eastAsia="Arial" w:hAnsi="Arial" w:cs="Arial"/>
                <w:b/>
                <w:color w:val="C00000"/>
                <w:sz w:val="24"/>
                <w:szCs w:val="24"/>
              </w:rPr>
            </w:pPr>
            <w:r w:rsidRPr="000D0397">
              <w:rPr>
                <w:rFonts w:ascii="Arial" w:eastAsia="Arial" w:hAnsi="Arial" w:cs="Arial"/>
                <w:b/>
                <w:color w:val="C00000"/>
                <w:sz w:val="24"/>
                <w:szCs w:val="24"/>
              </w:rPr>
              <w:t xml:space="preserve">PIDI: PROGRAMA </w:t>
            </w:r>
            <w:r w:rsidRPr="000D0397">
              <w:rPr>
                <w:rFonts w:ascii="Arial" w:eastAsia="Arial" w:hAnsi="Arial" w:cs="Arial"/>
                <w:b/>
                <w:color w:val="C00000"/>
                <w:spacing w:val="12"/>
                <w:sz w:val="24"/>
                <w:szCs w:val="24"/>
              </w:rPr>
              <w:t>1</w:t>
            </w:r>
            <w:r w:rsidRPr="000D0397">
              <w:rPr>
                <w:rFonts w:ascii="Arial" w:eastAsia="Arial" w:hAnsi="Arial" w:cs="Arial"/>
                <w:b/>
                <w:color w:val="C00000"/>
                <w:sz w:val="24"/>
                <w:szCs w:val="24"/>
              </w:rPr>
              <w:t xml:space="preserve">: </w:t>
            </w:r>
            <w:r w:rsidRPr="000D0397">
              <w:rPr>
                <w:rFonts w:ascii="Arial" w:eastAsia="Arial" w:hAnsi="Arial" w:cs="Arial"/>
                <w:b/>
                <w:color w:val="C00000"/>
                <w:spacing w:val="48"/>
                <w:sz w:val="24"/>
                <w:szCs w:val="24"/>
              </w:rPr>
              <w:t>FORTALECIMIENTO</w:t>
            </w:r>
            <w:r w:rsidRPr="000D0397">
              <w:rPr>
                <w:rFonts w:ascii="Arial" w:eastAsia="Arial" w:hAnsi="Arial" w:cs="Arial"/>
                <w:b/>
                <w:color w:val="C00000"/>
                <w:sz w:val="24"/>
                <w:szCs w:val="24"/>
              </w:rPr>
              <w:t xml:space="preserve"> Y </w:t>
            </w:r>
            <w:r w:rsidRPr="000D0397">
              <w:rPr>
                <w:rFonts w:ascii="Arial" w:eastAsia="Arial" w:hAnsi="Arial" w:cs="Arial"/>
                <w:b/>
                <w:color w:val="C00000"/>
                <w:spacing w:val="25"/>
                <w:sz w:val="24"/>
                <w:szCs w:val="24"/>
              </w:rPr>
              <w:t>AMPLIACIÓN</w:t>
            </w:r>
            <w:r w:rsidRPr="000D0397">
              <w:rPr>
                <w:rFonts w:ascii="Arial" w:eastAsia="Arial" w:hAnsi="Arial" w:cs="Arial"/>
                <w:b/>
                <w:color w:val="C00000"/>
                <w:sz w:val="24"/>
                <w:szCs w:val="24"/>
              </w:rPr>
              <w:t xml:space="preserve"> </w:t>
            </w:r>
            <w:r w:rsidRPr="000D0397">
              <w:rPr>
                <w:rFonts w:ascii="Arial" w:eastAsia="Arial" w:hAnsi="Arial" w:cs="Arial"/>
                <w:b/>
                <w:color w:val="C00000"/>
                <w:spacing w:val="27"/>
                <w:sz w:val="24"/>
                <w:szCs w:val="24"/>
              </w:rPr>
              <w:t>DE</w:t>
            </w:r>
            <w:r w:rsidRPr="000D0397">
              <w:rPr>
                <w:rFonts w:ascii="Arial" w:eastAsia="Arial" w:hAnsi="Arial" w:cs="Arial"/>
                <w:b/>
                <w:color w:val="C00000"/>
                <w:sz w:val="24"/>
                <w:szCs w:val="24"/>
              </w:rPr>
              <w:t xml:space="preserve"> </w:t>
            </w:r>
            <w:r w:rsidRPr="000D0397">
              <w:rPr>
                <w:rFonts w:ascii="Arial" w:eastAsia="Arial" w:hAnsi="Arial" w:cs="Arial"/>
                <w:b/>
                <w:color w:val="C00000"/>
                <w:spacing w:val="14"/>
                <w:sz w:val="24"/>
                <w:szCs w:val="24"/>
              </w:rPr>
              <w:t>LOS</w:t>
            </w:r>
            <w:r w:rsidRPr="000D0397">
              <w:rPr>
                <w:rFonts w:ascii="Arial" w:eastAsia="Arial" w:hAnsi="Arial" w:cs="Arial"/>
                <w:b/>
                <w:color w:val="C00000"/>
                <w:w w:val="103"/>
                <w:sz w:val="24"/>
                <w:szCs w:val="24"/>
              </w:rPr>
              <w:t xml:space="preserve"> </w:t>
            </w:r>
            <w:r w:rsidRPr="000D0397">
              <w:rPr>
                <w:rFonts w:ascii="Arial" w:eastAsia="Arial" w:hAnsi="Arial" w:cs="Arial"/>
                <w:b/>
                <w:color w:val="C00000"/>
                <w:sz w:val="24"/>
                <w:szCs w:val="24"/>
              </w:rPr>
              <w:t>PROGRAMAS</w:t>
            </w:r>
            <w:r w:rsidRPr="000D0397">
              <w:rPr>
                <w:rFonts w:ascii="Arial" w:eastAsia="Arial" w:hAnsi="Arial" w:cs="Arial"/>
                <w:b/>
                <w:color w:val="C00000"/>
                <w:spacing w:val="-16"/>
                <w:sz w:val="24"/>
                <w:szCs w:val="24"/>
              </w:rPr>
              <w:t xml:space="preserve"> </w:t>
            </w:r>
            <w:r w:rsidRPr="000D0397">
              <w:rPr>
                <w:rFonts w:ascii="Arial" w:eastAsia="Arial" w:hAnsi="Arial" w:cs="Arial"/>
                <w:b/>
                <w:color w:val="C00000"/>
                <w:sz w:val="24"/>
                <w:szCs w:val="24"/>
              </w:rPr>
              <w:t>DE PREGRADO</w:t>
            </w:r>
            <w:r w:rsidRPr="000D0397">
              <w:rPr>
                <w:rFonts w:ascii="Arial" w:eastAsia="Arial" w:hAnsi="Arial" w:cs="Arial"/>
                <w:b/>
                <w:color w:val="C00000"/>
                <w:spacing w:val="-18"/>
                <w:sz w:val="24"/>
                <w:szCs w:val="24"/>
              </w:rPr>
              <w:t xml:space="preserve"> </w:t>
            </w:r>
            <w:r w:rsidRPr="000D0397">
              <w:rPr>
                <w:rFonts w:ascii="Arial" w:eastAsia="Arial" w:hAnsi="Arial" w:cs="Arial"/>
                <w:b/>
                <w:color w:val="C00000"/>
                <w:sz w:val="24"/>
                <w:szCs w:val="24"/>
              </w:rPr>
              <w:t>Y</w:t>
            </w:r>
            <w:r w:rsidRPr="000D0397">
              <w:rPr>
                <w:rFonts w:ascii="Arial" w:eastAsia="Arial" w:hAnsi="Arial" w:cs="Arial"/>
                <w:b/>
                <w:color w:val="C00000"/>
                <w:spacing w:val="-6"/>
                <w:sz w:val="24"/>
                <w:szCs w:val="24"/>
              </w:rPr>
              <w:t xml:space="preserve"> </w:t>
            </w:r>
            <w:r w:rsidRPr="000D0397">
              <w:rPr>
                <w:rFonts w:ascii="Arial" w:eastAsia="Arial" w:hAnsi="Arial" w:cs="Arial"/>
                <w:b/>
                <w:color w:val="C00000"/>
                <w:sz w:val="24"/>
                <w:szCs w:val="24"/>
              </w:rPr>
              <w:t>POSGRAD</w:t>
            </w:r>
            <w:r w:rsidRPr="000D0397">
              <w:rPr>
                <w:rFonts w:ascii="Arial" w:eastAsia="Arial" w:hAnsi="Arial" w:cs="Arial"/>
                <w:b/>
                <w:color w:val="C00000"/>
                <w:spacing w:val="-5"/>
                <w:sz w:val="24"/>
                <w:szCs w:val="24"/>
              </w:rPr>
              <w:t>O</w:t>
            </w:r>
            <w:r w:rsidRPr="000D0397">
              <w:rPr>
                <w:rFonts w:ascii="Arial" w:eastAsia="Arial" w:hAnsi="Arial" w:cs="Arial"/>
                <w:b/>
                <w:color w:val="C00000"/>
                <w:sz w:val="24"/>
                <w:szCs w:val="24"/>
              </w:rPr>
              <w:t>.</w:t>
            </w:r>
          </w:p>
          <w:p w:rsidR="00B15E80" w:rsidRDefault="00B15E80" w:rsidP="00B15E80">
            <w:pPr>
              <w:spacing w:line="273" w:lineRule="auto"/>
              <w:ind w:right="71"/>
              <w:jc w:val="both"/>
              <w:rPr>
                <w:rFonts w:ascii="Arial" w:eastAsia="Arial" w:hAnsi="Arial" w:cs="Arial"/>
                <w:b/>
                <w:color w:val="C00000"/>
                <w:sz w:val="24"/>
                <w:szCs w:val="24"/>
              </w:rPr>
            </w:pPr>
            <w:r w:rsidRPr="000D0397">
              <w:rPr>
                <w:rFonts w:ascii="Arial" w:eastAsia="Arial" w:hAnsi="Arial" w:cs="Arial"/>
                <w:b/>
                <w:color w:val="C00000"/>
                <w:sz w:val="24"/>
                <w:szCs w:val="24"/>
              </w:rPr>
              <w:t xml:space="preserve">Proyecto 1: </w:t>
            </w:r>
            <w:r w:rsidRPr="000D0397">
              <w:rPr>
                <w:rFonts w:ascii="Arial" w:eastAsia="Arial" w:hAnsi="Arial" w:cs="Arial"/>
                <w:b/>
                <w:i/>
                <w:color w:val="C00000"/>
                <w:sz w:val="24"/>
                <w:szCs w:val="24"/>
              </w:rPr>
              <w:t>:</w:t>
            </w:r>
            <w:r w:rsidRPr="000D0397">
              <w:rPr>
                <w:rFonts w:ascii="Arial" w:eastAsia="Arial" w:hAnsi="Arial" w:cs="Arial"/>
                <w:b/>
                <w:i/>
                <w:color w:val="C00000"/>
                <w:spacing w:val="16"/>
                <w:sz w:val="24"/>
                <w:szCs w:val="24"/>
              </w:rPr>
              <w:t xml:space="preserve"> </w:t>
            </w:r>
            <w:r w:rsidRPr="000D0397">
              <w:rPr>
                <w:rFonts w:ascii="Arial" w:eastAsia="Arial" w:hAnsi="Arial" w:cs="Arial"/>
                <w:b/>
                <w:color w:val="C00000"/>
                <w:sz w:val="24"/>
                <w:szCs w:val="24"/>
              </w:rPr>
              <w:t>Racionalización</w:t>
            </w:r>
            <w:r w:rsidRPr="000D0397">
              <w:rPr>
                <w:rFonts w:ascii="Arial" w:eastAsia="Arial" w:hAnsi="Arial" w:cs="Arial"/>
                <w:b/>
                <w:color w:val="C00000"/>
                <w:spacing w:val="37"/>
                <w:sz w:val="24"/>
                <w:szCs w:val="24"/>
              </w:rPr>
              <w:t xml:space="preserve"> </w:t>
            </w:r>
            <w:r w:rsidRPr="000D0397">
              <w:rPr>
                <w:rFonts w:ascii="Arial" w:eastAsia="Arial" w:hAnsi="Arial" w:cs="Arial"/>
                <w:b/>
                <w:color w:val="C00000"/>
                <w:sz w:val="24"/>
                <w:szCs w:val="24"/>
              </w:rPr>
              <w:t>y</w:t>
            </w:r>
            <w:r w:rsidRPr="000D0397">
              <w:rPr>
                <w:rFonts w:ascii="Arial" w:eastAsia="Arial" w:hAnsi="Arial" w:cs="Arial"/>
                <w:b/>
                <w:color w:val="C00000"/>
                <w:spacing w:val="20"/>
                <w:sz w:val="24"/>
                <w:szCs w:val="24"/>
              </w:rPr>
              <w:t xml:space="preserve"> </w:t>
            </w:r>
            <w:r w:rsidRPr="000D0397">
              <w:rPr>
                <w:rFonts w:ascii="Arial" w:eastAsia="Arial" w:hAnsi="Arial" w:cs="Arial"/>
                <w:b/>
                <w:color w:val="C00000"/>
                <w:sz w:val="24"/>
                <w:szCs w:val="24"/>
              </w:rPr>
              <w:t>ampliación</w:t>
            </w:r>
            <w:r w:rsidRPr="000D0397">
              <w:rPr>
                <w:rFonts w:ascii="Arial" w:eastAsia="Arial" w:hAnsi="Arial" w:cs="Arial"/>
                <w:b/>
                <w:color w:val="C00000"/>
                <w:spacing w:val="23"/>
                <w:sz w:val="24"/>
                <w:szCs w:val="24"/>
              </w:rPr>
              <w:t xml:space="preserve"> </w:t>
            </w:r>
            <w:r w:rsidRPr="000D0397">
              <w:rPr>
                <w:rFonts w:ascii="Arial" w:eastAsia="Arial" w:hAnsi="Arial" w:cs="Arial"/>
                <w:b/>
                <w:color w:val="C00000"/>
                <w:sz w:val="24"/>
                <w:szCs w:val="24"/>
              </w:rPr>
              <w:t>de</w:t>
            </w:r>
            <w:r w:rsidRPr="000D0397">
              <w:rPr>
                <w:rFonts w:ascii="Arial" w:eastAsia="Arial" w:hAnsi="Arial" w:cs="Arial"/>
                <w:b/>
                <w:color w:val="C00000"/>
                <w:spacing w:val="33"/>
                <w:sz w:val="24"/>
                <w:szCs w:val="24"/>
              </w:rPr>
              <w:t xml:space="preserve"> </w:t>
            </w:r>
            <w:r w:rsidRPr="000D0397">
              <w:rPr>
                <w:rFonts w:ascii="Arial" w:eastAsia="Arial" w:hAnsi="Arial" w:cs="Arial"/>
                <w:b/>
                <w:color w:val="C00000"/>
                <w:sz w:val="24"/>
                <w:szCs w:val="24"/>
              </w:rPr>
              <w:t>la</w:t>
            </w:r>
            <w:r w:rsidRPr="000D0397">
              <w:rPr>
                <w:rFonts w:ascii="Arial" w:eastAsia="Arial" w:hAnsi="Arial" w:cs="Arial"/>
                <w:b/>
                <w:color w:val="C00000"/>
                <w:spacing w:val="42"/>
                <w:sz w:val="24"/>
                <w:szCs w:val="24"/>
              </w:rPr>
              <w:t xml:space="preserve"> </w:t>
            </w:r>
            <w:r w:rsidRPr="000D0397">
              <w:rPr>
                <w:rFonts w:ascii="Arial" w:eastAsia="Arial" w:hAnsi="Arial" w:cs="Arial"/>
                <w:b/>
                <w:color w:val="C00000"/>
                <w:sz w:val="24"/>
                <w:szCs w:val="24"/>
              </w:rPr>
              <w:t>cobertura</w:t>
            </w:r>
            <w:r w:rsidRPr="000D0397">
              <w:rPr>
                <w:rFonts w:ascii="Arial" w:eastAsia="Arial" w:hAnsi="Arial" w:cs="Arial"/>
                <w:b/>
                <w:color w:val="C00000"/>
                <w:spacing w:val="22"/>
                <w:sz w:val="24"/>
                <w:szCs w:val="24"/>
              </w:rPr>
              <w:t xml:space="preserve"> </w:t>
            </w:r>
            <w:r w:rsidRPr="000D0397">
              <w:rPr>
                <w:rFonts w:ascii="Arial" w:eastAsia="Arial" w:hAnsi="Arial" w:cs="Arial"/>
                <w:b/>
                <w:color w:val="C00000"/>
                <w:sz w:val="24"/>
                <w:szCs w:val="24"/>
              </w:rPr>
              <w:t>de</w:t>
            </w:r>
            <w:r w:rsidRPr="000D0397">
              <w:rPr>
                <w:rFonts w:ascii="Arial" w:eastAsia="Arial" w:hAnsi="Arial" w:cs="Arial"/>
                <w:b/>
                <w:color w:val="C00000"/>
                <w:spacing w:val="31"/>
                <w:sz w:val="24"/>
                <w:szCs w:val="24"/>
              </w:rPr>
              <w:t xml:space="preserve"> </w:t>
            </w:r>
            <w:r w:rsidRPr="000D0397">
              <w:rPr>
                <w:rFonts w:ascii="Arial" w:eastAsia="Arial" w:hAnsi="Arial" w:cs="Arial"/>
                <w:b/>
                <w:color w:val="C00000"/>
                <w:sz w:val="24"/>
                <w:szCs w:val="24"/>
              </w:rPr>
              <w:t>programas</w:t>
            </w:r>
            <w:r w:rsidRPr="000D0397">
              <w:rPr>
                <w:rFonts w:ascii="Arial" w:eastAsia="Arial" w:hAnsi="Arial" w:cs="Arial"/>
                <w:b/>
                <w:color w:val="C00000"/>
                <w:spacing w:val="31"/>
                <w:sz w:val="24"/>
                <w:szCs w:val="24"/>
              </w:rPr>
              <w:t xml:space="preserve"> </w:t>
            </w:r>
            <w:r w:rsidRPr="000D0397">
              <w:rPr>
                <w:rFonts w:ascii="Arial" w:eastAsia="Arial" w:hAnsi="Arial" w:cs="Arial"/>
                <w:b/>
                <w:color w:val="C00000"/>
                <w:w w:val="104"/>
                <w:sz w:val="24"/>
                <w:szCs w:val="24"/>
              </w:rPr>
              <w:t xml:space="preserve">de </w:t>
            </w:r>
            <w:r w:rsidRPr="000D0397">
              <w:rPr>
                <w:rFonts w:ascii="Arial" w:eastAsia="Arial" w:hAnsi="Arial" w:cs="Arial"/>
                <w:b/>
                <w:color w:val="C00000"/>
                <w:sz w:val="24"/>
                <w:szCs w:val="24"/>
              </w:rPr>
              <w:t>pregrado</w:t>
            </w:r>
            <w:r w:rsidRPr="000D0397">
              <w:rPr>
                <w:rFonts w:ascii="Arial" w:eastAsia="Arial" w:hAnsi="Arial" w:cs="Arial"/>
                <w:b/>
                <w:color w:val="C00000"/>
                <w:spacing w:val="7"/>
                <w:sz w:val="24"/>
                <w:szCs w:val="24"/>
              </w:rPr>
              <w:t xml:space="preserve"> </w:t>
            </w:r>
            <w:r w:rsidRPr="000D0397">
              <w:rPr>
                <w:rFonts w:ascii="Arial" w:eastAsia="Arial" w:hAnsi="Arial" w:cs="Arial"/>
                <w:b/>
                <w:color w:val="C00000"/>
                <w:sz w:val="24"/>
                <w:szCs w:val="24"/>
              </w:rPr>
              <w:t>y</w:t>
            </w:r>
            <w:r w:rsidRPr="000D0397">
              <w:rPr>
                <w:rFonts w:ascii="Arial" w:eastAsia="Arial" w:hAnsi="Arial" w:cs="Arial"/>
                <w:b/>
                <w:color w:val="C00000"/>
                <w:spacing w:val="-7"/>
                <w:sz w:val="24"/>
                <w:szCs w:val="24"/>
              </w:rPr>
              <w:t xml:space="preserve"> </w:t>
            </w:r>
            <w:r w:rsidRPr="000D0397">
              <w:rPr>
                <w:rFonts w:ascii="Arial" w:eastAsia="Arial" w:hAnsi="Arial" w:cs="Arial"/>
                <w:b/>
                <w:color w:val="C00000"/>
                <w:sz w:val="24"/>
                <w:szCs w:val="24"/>
              </w:rPr>
              <w:t>posgrado</w:t>
            </w:r>
          </w:p>
          <w:p w:rsidR="00B15E80" w:rsidRDefault="00B15E80" w:rsidP="00B15E80">
            <w:pPr>
              <w:spacing w:line="273" w:lineRule="auto"/>
              <w:ind w:right="71"/>
              <w:jc w:val="both"/>
              <w:rPr>
                <w:rFonts w:ascii="Arial" w:eastAsia="Arial" w:hAnsi="Arial" w:cs="Arial"/>
                <w:b/>
                <w:color w:val="C00000"/>
                <w:sz w:val="24"/>
                <w:szCs w:val="24"/>
              </w:rPr>
            </w:pPr>
          </w:p>
          <w:p w:rsidR="00DA6F05" w:rsidRPr="00B15E80" w:rsidRDefault="00B15E80" w:rsidP="00B15E80">
            <w:pPr>
              <w:spacing w:line="273" w:lineRule="auto"/>
              <w:ind w:right="71"/>
              <w:jc w:val="both"/>
              <w:rPr>
                <w:rFonts w:ascii="Arial" w:eastAsia="Arial" w:hAnsi="Arial" w:cs="Arial"/>
                <w:b/>
                <w:sz w:val="24"/>
                <w:szCs w:val="24"/>
              </w:rPr>
            </w:pPr>
            <w:r>
              <w:rPr>
                <w:rFonts w:ascii="Arial" w:eastAsia="Arial" w:hAnsi="Arial" w:cs="Arial"/>
                <w:b/>
                <w:sz w:val="24"/>
                <w:szCs w:val="24"/>
              </w:rPr>
              <w:t>……. Especialización en Gerencia Social, programa adscrito a la Facultad de Derecho</w:t>
            </w:r>
          </w:p>
        </w:tc>
      </w:tr>
    </w:tbl>
    <w:p w:rsidR="009E4EED" w:rsidRPr="00704578" w:rsidRDefault="009E4EED" w:rsidP="000C4563">
      <w:pPr>
        <w:jc w:val="center"/>
        <w:rPr>
          <w:rFonts w:ascii="Swis721 Lt BT" w:eastAsia="Times New Roman" w:hAnsi="Swis721 Lt BT" w:cs="Times New Roman"/>
          <w:sz w:val="24"/>
          <w:szCs w:val="24"/>
          <w:lang w:eastAsia="es-ES"/>
        </w:rPr>
      </w:pPr>
    </w:p>
    <w:sectPr w:rsidR="009E4EED" w:rsidRPr="00704578" w:rsidSect="007D25A8">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9D" w:rsidRDefault="0052459D" w:rsidP="00144088">
      <w:pPr>
        <w:spacing w:after="0" w:line="240" w:lineRule="auto"/>
      </w:pPr>
      <w:r>
        <w:separator/>
      </w:r>
    </w:p>
  </w:endnote>
  <w:endnote w:type="continuationSeparator" w:id="0">
    <w:p w:rsidR="0052459D" w:rsidRDefault="0052459D"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default"/>
    <w:sig w:usb0="00000003" w:usb1="00000000" w:usb2="00000000" w:usb3="00000000" w:csb0="00000001" w:csb1="00000000"/>
  </w:font>
  <w:font w:name="Swis721 Lt BT">
    <w:altName w:val="Trebuchet MS"/>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78" w:rsidRDefault="00704578" w:rsidP="00704578">
    <w:pPr>
      <w:pStyle w:val="Piedepgina"/>
      <w:tabs>
        <w:tab w:val="clear" w:pos="4252"/>
        <w:tab w:val="clear" w:pos="8504"/>
        <w:tab w:val="left" w:pos="3390"/>
      </w:tabs>
      <w:jc w:val="center"/>
      <w:rPr>
        <w:rStyle w:val="A0"/>
        <w:rFonts w:ascii="Swis721 Lt BT" w:hAnsi="Swis721 Lt BT"/>
        <w:sz w:val="20"/>
        <w:szCs w:val="20"/>
      </w:rPr>
    </w:pPr>
    <w:r>
      <w:rPr>
        <w:rStyle w:val="A0"/>
        <w:rFonts w:ascii="Swis721 Lt BT" w:hAnsi="Swis721 Lt BT"/>
        <w:sz w:val="20"/>
        <w:szCs w:val="20"/>
      </w:rPr>
      <w:t>PEREIRA RISARALDA</w:t>
    </w:r>
    <w:r w:rsidRPr="0012539B">
      <w:rPr>
        <w:rStyle w:val="A0"/>
        <w:rFonts w:ascii="Swis721 Lt BT" w:hAnsi="Swis721 Lt BT"/>
        <w:sz w:val="20"/>
        <w:szCs w:val="20"/>
      </w:rPr>
      <w:t xml:space="preserve">. - SEDE </w:t>
    </w:r>
    <w:r>
      <w:rPr>
        <w:rStyle w:val="A0"/>
        <w:rFonts w:ascii="Swis721 Lt BT" w:hAnsi="Swis721 Lt BT"/>
        <w:sz w:val="20"/>
        <w:szCs w:val="20"/>
      </w:rPr>
      <w:t xml:space="preserve"> CENTRO  Calle 40. No. 7-</w:t>
    </w:r>
    <w:proofErr w:type="gramStart"/>
    <w:r>
      <w:rPr>
        <w:rStyle w:val="A0"/>
        <w:rFonts w:ascii="Swis721 Lt BT" w:hAnsi="Swis721 Lt BT"/>
        <w:sz w:val="20"/>
        <w:szCs w:val="20"/>
      </w:rPr>
      <w:t>30  Tel</w:t>
    </w:r>
    <w:proofErr w:type="gramEnd"/>
    <w:r>
      <w:rPr>
        <w:rStyle w:val="A0"/>
        <w:rFonts w:ascii="Swis721 Lt BT" w:hAnsi="Swis721 Lt BT"/>
        <w:sz w:val="20"/>
        <w:szCs w:val="20"/>
      </w:rPr>
      <w:t xml:space="preserve">: 3147506                                                           SEDE BELMONTE:  Avenida las Américas </w:t>
    </w:r>
    <w:proofErr w:type="spellStart"/>
    <w:r>
      <w:rPr>
        <w:rStyle w:val="A0"/>
        <w:rFonts w:ascii="Swis721 Lt BT" w:hAnsi="Swis721 Lt BT"/>
        <w:sz w:val="20"/>
        <w:szCs w:val="20"/>
      </w:rPr>
      <w:t>tel</w:t>
    </w:r>
    <w:proofErr w:type="spellEnd"/>
    <w:r>
      <w:rPr>
        <w:rStyle w:val="A0"/>
        <w:rFonts w:ascii="Swis721 Lt BT" w:hAnsi="Swis721 Lt BT"/>
        <w:sz w:val="20"/>
        <w:szCs w:val="20"/>
      </w:rPr>
      <w:t>: 3155600</w:t>
    </w:r>
  </w:p>
  <w:p w:rsidR="00704578" w:rsidRPr="0012539B" w:rsidRDefault="00704578" w:rsidP="00704578">
    <w:pPr>
      <w:pStyle w:val="Piedepgina"/>
      <w:jc w:val="center"/>
      <w:rPr>
        <w:rFonts w:ascii="Swis721 Lt BT" w:hAnsi="Swis721 Lt BT"/>
      </w:rPr>
    </w:pPr>
    <w:r w:rsidRPr="0012539B">
      <w:rPr>
        <w:rFonts w:ascii="Swis721 Lt BT" w:hAnsi="Swis721 Lt BT" w:cs="GillSans"/>
        <w:b/>
        <w:bCs/>
        <w:color w:val="ED1A22"/>
        <w:sz w:val="23"/>
        <w:szCs w:val="23"/>
      </w:rPr>
      <w:t>www.unilibre</w:t>
    </w:r>
    <w:r>
      <w:rPr>
        <w:rFonts w:ascii="Swis721 Lt BT" w:hAnsi="Swis721 Lt BT" w:cs="GillSans"/>
        <w:b/>
        <w:bCs/>
        <w:color w:val="ED1A22"/>
        <w:sz w:val="23"/>
        <w:szCs w:val="23"/>
      </w:rPr>
      <w:t>pereira</w:t>
    </w:r>
    <w:r w:rsidRPr="0012539B">
      <w:rPr>
        <w:rFonts w:ascii="Swis721 Lt BT" w:hAnsi="Swis721 Lt BT" w:cs="GillSans"/>
        <w:b/>
        <w:bCs/>
        <w:color w:val="ED1A22"/>
        <w:sz w:val="23"/>
        <w:szCs w:val="23"/>
      </w:rPr>
      <w:t>.edu.co</w:t>
    </w:r>
  </w:p>
  <w:p w:rsidR="00704578" w:rsidRPr="004F0FD9" w:rsidRDefault="00704578" w:rsidP="00704578">
    <w:pPr>
      <w:pStyle w:val="Piedepgina"/>
      <w:rPr>
        <w:lang w:val="en-US"/>
      </w:rPr>
    </w:pPr>
  </w:p>
  <w:p w:rsidR="00704578" w:rsidRPr="00205E37" w:rsidRDefault="00704578" w:rsidP="00205E37">
    <w:pPr>
      <w:pStyle w:val="Piedepgina"/>
      <w:jc w:val="center"/>
      <w:rPr>
        <w:rFonts w:ascii="Arial" w:hAnsi="Arial" w:cs="Arial"/>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9D" w:rsidRDefault="0052459D" w:rsidP="00144088">
      <w:pPr>
        <w:spacing w:after="0" w:line="240" w:lineRule="auto"/>
      </w:pPr>
      <w:r>
        <w:separator/>
      </w:r>
    </w:p>
  </w:footnote>
  <w:footnote w:type="continuationSeparator" w:id="0">
    <w:p w:rsidR="0052459D" w:rsidRDefault="0052459D" w:rsidP="0014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78" w:rsidRDefault="00704578">
    <w:pPr>
      <w:pStyle w:val="Encabezado"/>
    </w:pPr>
    <w:r w:rsidRPr="00EC6929">
      <w:rPr>
        <w:noProof/>
        <w:lang w:val="es-CO" w:eastAsia="es-CO"/>
      </w:rPr>
      <w:drawing>
        <wp:inline distT="0" distB="0" distL="0" distR="0">
          <wp:extent cx="5612130" cy="890814"/>
          <wp:effectExtent l="0" t="0" r="0" b="5080"/>
          <wp:docPr id="1" name="Imagen 1" descr="C:\Users\luz.piragauta\AppData\Local\Microsoft\Windows\Temporary Internet Files\Content.Outlook\MJ8HMBWP\cabezote con ra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luz.piragauta\AppData\Local\Microsoft\Windows\Temporary Internet Files\Content.Outlook\MJ8HMBWP\cabezote con ray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908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14D7A"/>
    <w:multiLevelType w:val="hybridMultilevel"/>
    <w:tmpl w:val="5468AF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3E4619"/>
    <w:multiLevelType w:val="hybridMultilevel"/>
    <w:tmpl w:val="E4621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2C90A7C"/>
    <w:multiLevelType w:val="hybridMultilevel"/>
    <w:tmpl w:val="0116E3E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73A64D9"/>
    <w:multiLevelType w:val="hybridMultilevel"/>
    <w:tmpl w:val="2916B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251610"/>
    <w:multiLevelType w:val="hybridMultilevel"/>
    <w:tmpl w:val="2146F7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06460E"/>
    <w:multiLevelType w:val="hybridMultilevel"/>
    <w:tmpl w:val="EF38ED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E97AD2"/>
    <w:multiLevelType w:val="hybridMultilevel"/>
    <w:tmpl w:val="8E3C3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6F03C5"/>
    <w:multiLevelType w:val="hybridMultilevel"/>
    <w:tmpl w:val="121C410E"/>
    <w:lvl w:ilvl="0" w:tplc="1BC6C85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A056E23"/>
    <w:multiLevelType w:val="hybridMultilevel"/>
    <w:tmpl w:val="FFBC8D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A6769F"/>
    <w:multiLevelType w:val="hybridMultilevel"/>
    <w:tmpl w:val="25F6A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C32714C"/>
    <w:multiLevelType w:val="hybridMultilevel"/>
    <w:tmpl w:val="F33CD8E2"/>
    <w:lvl w:ilvl="0" w:tplc="17B03B64">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C7A2FE0"/>
    <w:multiLevelType w:val="hybridMultilevel"/>
    <w:tmpl w:val="F8F69794"/>
    <w:lvl w:ilvl="0" w:tplc="403A5EC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9822BE"/>
    <w:multiLevelType w:val="hybridMultilevel"/>
    <w:tmpl w:val="DF94C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B75413"/>
    <w:multiLevelType w:val="hybridMultilevel"/>
    <w:tmpl w:val="5A7EF66A"/>
    <w:lvl w:ilvl="0" w:tplc="FC0AD05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143397"/>
    <w:multiLevelType w:val="hybridMultilevel"/>
    <w:tmpl w:val="EDCE903A"/>
    <w:lvl w:ilvl="0" w:tplc="67C2DBB4">
      <w:start w:val="1"/>
      <w:numFmt w:val="lowerLetter"/>
      <w:lvlText w:val="%1)"/>
      <w:lvlJc w:val="left"/>
      <w:pPr>
        <w:ind w:left="720" w:hanging="360"/>
      </w:pPr>
      <w:rPr>
        <w:rFonts w:asciiTheme="minorHAnsi" w:hAnsiTheme="minorHAns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3346C5"/>
    <w:multiLevelType w:val="hybridMultilevel"/>
    <w:tmpl w:val="5E346C62"/>
    <w:lvl w:ilvl="0" w:tplc="55784EC2">
      <w:start w:val="1"/>
      <w:numFmt w:val="bullet"/>
      <w:lvlText w:val="-"/>
      <w:lvlJc w:val="left"/>
      <w:pPr>
        <w:tabs>
          <w:tab w:val="num" w:pos="720"/>
        </w:tabs>
        <w:ind w:left="720" w:hanging="360"/>
      </w:pPr>
      <w:rPr>
        <w:rFonts w:ascii="Times New Roman" w:hAnsi="Times New Roman" w:hint="default"/>
      </w:rPr>
    </w:lvl>
    <w:lvl w:ilvl="1" w:tplc="CA0CDBFA" w:tentative="1">
      <w:start w:val="1"/>
      <w:numFmt w:val="bullet"/>
      <w:lvlText w:val="-"/>
      <w:lvlJc w:val="left"/>
      <w:pPr>
        <w:tabs>
          <w:tab w:val="num" w:pos="1440"/>
        </w:tabs>
        <w:ind w:left="1440" w:hanging="360"/>
      </w:pPr>
      <w:rPr>
        <w:rFonts w:ascii="Times New Roman" w:hAnsi="Times New Roman" w:hint="default"/>
      </w:rPr>
    </w:lvl>
    <w:lvl w:ilvl="2" w:tplc="8796F5D8" w:tentative="1">
      <w:start w:val="1"/>
      <w:numFmt w:val="bullet"/>
      <w:lvlText w:val="-"/>
      <w:lvlJc w:val="left"/>
      <w:pPr>
        <w:tabs>
          <w:tab w:val="num" w:pos="2160"/>
        </w:tabs>
        <w:ind w:left="2160" w:hanging="360"/>
      </w:pPr>
      <w:rPr>
        <w:rFonts w:ascii="Times New Roman" w:hAnsi="Times New Roman" w:hint="default"/>
      </w:rPr>
    </w:lvl>
    <w:lvl w:ilvl="3" w:tplc="F862538A" w:tentative="1">
      <w:start w:val="1"/>
      <w:numFmt w:val="bullet"/>
      <w:lvlText w:val="-"/>
      <w:lvlJc w:val="left"/>
      <w:pPr>
        <w:tabs>
          <w:tab w:val="num" w:pos="2880"/>
        </w:tabs>
        <w:ind w:left="2880" w:hanging="360"/>
      </w:pPr>
      <w:rPr>
        <w:rFonts w:ascii="Times New Roman" w:hAnsi="Times New Roman" w:hint="default"/>
      </w:rPr>
    </w:lvl>
    <w:lvl w:ilvl="4" w:tplc="3E7EC05A" w:tentative="1">
      <w:start w:val="1"/>
      <w:numFmt w:val="bullet"/>
      <w:lvlText w:val="-"/>
      <w:lvlJc w:val="left"/>
      <w:pPr>
        <w:tabs>
          <w:tab w:val="num" w:pos="3600"/>
        </w:tabs>
        <w:ind w:left="3600" w:hanging="360"/>
      </w:pPr>
      <w:rPr>
        <w:rFonts w:ascii="Times New Roman" w:hAnsi="Times New Roman" w:hint="default"/>
      </w:rPr>
    </w:lvl>
    <w:lvl w:ilvl="5" w:tplc="EC26259A" w:tentative="1">
      <w:start w:val="1"/>
      <w:numFmt w:val="bullet"/>
      <w:lvlText w:val="-"/>
      <w:lvlJc w:val="left"/>
      <w:pPr>
        <w:tabs>
          <w:tab w:val="num" w:pos="4320"/>
        </w:tabs>
        <w:ind w:left="4320" w:hanging="360"/>
      </w:pPr>
      <w:rPr>
        <w:rFonts w:ascii="Times New Roman" w:hAnsi="Times New Roman" w:hint="default"/>
      </w:rPr>
    </w:lvl>
    <w:lvl w:ilvl="6" w:tplc="E6004C24" w:tentative="1">
      <w:start w:val="1"/>
      <w:numFmt w:val="bullet"/>
      <w:lvlText w:val="-"/>
      <w:lvlJc w:val="left"/>
      <w:pPr>
        <w:tabs>
          <w:tab w:val="num" w:pos="5040"/>
        </w:tabs>
        <w:ind w:left="5040" w:hanging="360"/>
      </w:pPr>
      <w:rPr>
        <w:rFonts w:ascii="Times New Roman" w:hAnsi="Times New Roman" w:hint="default"/>
      </w:rPr>
    </w:lvl>
    <w:lvl w:ilvl="7" w:tplc="5FDC02D2" w:tentative="1">
      <w:start w:val="1"/>
      <w:numFmt w:val="bullet"/>
      <w:lvlText w:val="-"/>
      <w:lvlJc w:val="left"/>
      <w:pPr>
        <w:tabs>
          <w:tab w:val="num" w:pos="5760"/>
        </w:tabs>
        <w:ind w:left="5760" w:hanging="360"/>
      </w:pPr>
      <w:rPr>
        <w:rFonts w:ascii="Times New Roman" w:hAnsi="Times New Roman" w:hint="default"/>
      </w:rPr>
    </w:lvl>
    <w:lvl w:ilvl="8" w:tplc="A316058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22263511"/>
    <w:multiLevelType w:val="hybridMultilevel"/>
    <w:tmpl w:val="0074B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5A2893"/>
    <w:multiLevelType w:val="hybridMultilevel"/>
    <w:tmpl w:val="87F89F4E"/>
    <w:lvl w:ilvl="0" w:tplc="FCAE59C2">
      <w:start w:val="1"/>
      <w:numFmt w:val="decimal"/>
      <w:lvlText w:val="%1."/>
      <w:lvlJc w:val="left"/>
      <w:pPr>
        <w:tabs>
          <w:tab w:val="num" w:pos="720"/>
        </w:tabs>
        <w:ind w:left="720" w:hanging="360"/>
      </w:pPr>
    </w:lvl>
    <w:lvl w:ilvl="1" w:tplc="CFB25416" w:tentative="1">
      <w:start w:val="1"/>
      <w:numFmt w:val="decimal"/>
      <w:lvlText w:val="%2."/>
      <w:lvlJc w:val="left"/>
      <w:pPr>
        <w:tabs>
          <w:tab w:val="num" w:pos="1440"/>
        </w:tabs>
        <w:ind w:left="1440" w:hanging="360"/>
      </w:pPr>
    </w:lvl>
    <w:lvl w:ilvl="2" w:tplc="4F0CCEEE" w:tentative="1">
      <w:start w:val="1"/>
      <w:numFmt w:val="decimal"/>
      <w:lvlText w:val="%3."/>
      <w:lvlJc w:val="left"/>
      <w:pPr>
        <w:tabs>
          <w:tab w:val="num" w:pos="2160"/>
        </w:tabs>
        <w:ind w:left="2160" w:hanging="360"/>
      </w:pPr>
    </w:lvl>
    <w:lvl w:ilvl="3" w:tplc="25768F60" w:tentative="1">
      <w:start w:val="1"/>
      <w:numFmt w:val="decimal"/>
      <w:lvlText w:val="%4."/>
      <w:lvlJc w:val="left"/>
      <w:pPr>
        <w:tabs>
          <w:tab w:val="num" w:pos="2880"/>
        </w:tabs>
        <w:ind w:left="2880" w:hanging="360"/>
      </w:pPr>
    </w:lvl>
    <w:lvl w:ilvl="4" w:tplc="F1120392" w:tentative="1">
      <w:start w:val="1"/>
      <w:numFmt w:val="decimal"/>
      <w:lvlText w:val="%5."/>
      <w:lvlJc w:val="left"/>
      <w:pPr>
        <w:tabs>
          <w:tab w:val="num" w:pos="3600"/>
        </w:tabs>
        <w:ind w:left="3600" w:hanging="360"/>
      </w:pPr>
    </w:lvl>
    <w:lvl w:ilvl="5" w:tplc="4470F268" w:tentative="1">
      <w:start w:val="1"/>
      <w:numFmt w:val="decimal"/>
      <w:lvlText w:val="%6."/>
      <w:lvlJc w:val="left"/>
      <w:pPr>
        <w:tabs>
          <w:tab w:val="num" w:pos="4320"/>
        </w:tabs>
        <w:ind w:left="4320" w:hanging="360"/>
      </w:pPr>
    </w:lvl>
    <w:lvl w:ilvl="6" w:tplc="11426CD8" w:tentative="1">
      <w:start w:val="1"/>
      <w:numFmt w:val="decimal"/>
      <w:lvlText w:val="%7."/>
      <w:lvlJc w:val="left"/>
      <w:pPr>
        <w:tabs>
          <w:tab w:val="num" w:pos="5040"/>
        </w:tabs>
        <w:ind w:left="5040" w:hanging="360"/>
      </w:pPr>
    </w:lvl>
    <w:lvl w:ilvl="7" w:tplc="1564DB5A" w:tentative="1">
      <w:start w:val="1"/>
      <w:numFmt w:val="decimal"/>
      <w:lvlText w:val="%8."/>
      <w:lvlJc w:val="left"/>
      <w:pPr>
        <w:tabs>
          <w:tab w:val="num" w:pos="5760"/>
        </w:tabs>
        <w:ind w:left="5760" w:hanging="360"/>
      </w:pPr>
    </w:lvl>
    <w:lvl w:ilvl="8" w:tplc="A2FAFB54" w:tentative="1">
      <w:start w:val="1"/>
      <w:numFmt w:val="decimal"/>
      <w:lvlText w:val="%9."/>
      <w:lvlJc w:val="left"/>
      <w:pPr>
        <w:tabs>
          <w:tab w:val="num" w:pos="6480"/>
        </w:tabs>
        <w:ind w:left="6480" w:hanging="360"/>
      </w:pPr>
    </w:lvl>
  </w:abstractNum>
  <w:abstractNum w:abstractNumId="18" w15:restartNumberingAfterBreak="0">
    <w:nsid w:val="287A0D81"/>
    <w:multiLevelType w:val="hybridMultilevel"/>
    <w:tmpl w:val="A2F4F0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A84581A"/>
    <w:multiLevelType w:val="hybridMultilevel"/>
    <w:tmpl w:val="449A5C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D35779A"/>
    <w:multiLevelType w:val="hybridMultilevel"/>
    <w:tmpl w:val="26666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F895D39"/>
    <w:multiLevelType w:val="hybridMultilevel"/>
    <w:tmpl w:val="1A188E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0D806CF"/>
    <w:multiLevelType w:val="hybridMultilevel"/>
    <w:tmpl w:val="BD12DC34"/>
    <w:lvl w:ilvl="0" w:tplc="7F2C5FB2">
      <w:start w:val="5"/>
      <w:numFmt w:val="bullet"/>
      <w:lvlText w:val="-"/>
      <w:lvlJc w:val="left"/>
      <w:pPr>
        <w:ind w:left="405" w:hanging="360"/>
      </w:pPr>
      <w:rPr>
        <w:rFonts w:ascii="Calibri" w:eastAsia="Times New Roman" w:hAnsi="Calibri" w:cs="Calibri"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3" w15:restartNumberingAfterBreak="0">
    <w:nsid w:val="31217A56"/>
    <w:multiLevelType w:val="hybridMultilevel"/>
    <w:tmpl w:val="DEFADC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1AD6D25"/>
    <w:multiLevelType w:val="hybridMultilevel"/>
    <w:tmpl w:val="EFB6D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1C05433"/>
    <w:multiLevelType w:val="hybridMultilevel"/>
    <w:tmpl w:val="BBBA4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3F75331"/>
    <w:multiLevelType w:val="hybridMultilevel"/>
    <w:tmpl w:val="A962A28A"/>
    <w:lvl w:ilvl="0" w:tplc="240A0001">
      <w:start w:val="1"/>
      <w:numFmt w:val="bullet"/>
      <w:lvlText w:val=""/>
      <w:lvlJc w:val="left"/>
      <w:pPr>
        <w:ind w:left="780" w:hanging="360"/>
      </w:pPr>
      <w:rPr>
        <w:rFonts w:ascii="Symbol" w:hAnsi="Symbol" w:hint="default"/>
      </w:rPr>
    </w:lvl>
    <w:lvl w:ilvl="1" w:tplc="240A0003">
      <w:start w:val="1"/>
      <w:numFmt w:val="bullet"/>
      <w:lvlText w:val="o"/>
      <w:lvlJc w:val="left"/>
      <w:pPr>
        <w:ind w:left="1500" w:hanging="360"/>
      </w:pPr>
      <w:rPr>
        <w:rFonts w:ascii="Courier New" w:hAnsi="Courier New" w:cs="Courier New" w:hint="default"/>
      </w:rPr>
    </w:lvl>
    <w:lvl w:ilvl="2" w:tplc="240A0005">
      <w:start w:val="1"/>
      <w:numFmt w:val="bullet"/>
      <w:lvlText w:val=""/>
      <w:lvlJc w:val="left"/>
      <w:pPr>
        <w:ind w:left="2220" w:hanging="360"/>
      </w:pPr>
      <w:rPr>
        <w:rFonts w:ascii="Wingdings" w:hAnsi="Wingdings" w:hint="default"/>
      </w:rPr>
    </w:lvl>
    <w:lvl w:ilvl="3" w:tplc="240A0001">
      <w:start w:val="1"/>
      <w:numFmt w:val="bullet"/>
      <w:lvlText w:val=""/>
      <w:lvlJc w:val="left"/>
      <w:pPr>
        <w:ind w:left="2940" w:hanging="360"/>
      </w:pPr>
      <w:rPr>
        <w:rFonts w:ascii="Symbol" w:hAnsi="Symbol" w:hint="default"/>
      </w:rPr>
    </w:lvl>
    <w:lvl w:ilvl="4" w:tplc="240A0003">
      <w:start w:val="1"/>
      <w:numFmt w:val="bullet"/>
      <w:lvlText w:val="o"/>
      <w:lvlJc w:val="left"/>
      <w:pPr>
        <w:ind w:left="3660" w:hanging="360"/>
      </w:pPr>
      <w:rPr>
        <w:rFonts w:ascii="Courier New" w:hAnsi="Courier New" w:cs="Courier New" w:hint="default"/>
      </w:rPr>
    </w:lvl>
    <w:lvl w:ilvl="5" w:tplc="240A0005">
      <w:start w:val="1"/>
      <w:numFmt w:val="bullet"/>
      <w:lvlText w:val=""/>
      <w:lvlJc w:val="left"/>
      <w:pPr>
        <w:ind w:left="4380" w:hanging="360"/>
      </w:pPr>
      <w:rPr>
        <w:rFonts w:ascii="Wingdings" w:hAnsi="Wingdings" w:hint="default"/>
      </w:rPr>
    </w:lvl>
    <w:lvl w:ilvl="6" w:tplc="240A0001">
      <w:start w:val="1"/>
      <w:numFmt w:val="bullet"/>
      <w:lvlText w:val=""/>
      <w:lvlJc w:val="left"/>
      <w:pPr>
        <w:ind w:left="5100" w:hanging="360"/>
      </w:pPr>
      <w:rPr>
        <w:rFonts w:ascii="Symbol" w:hAnsi="Symbol" w:hint="default"/>
      </w:rPr>
    </w:lvl>
    <w:lvl w:ilvl="7" w:tplc="240A0003">
      <w:start w:val="1"/>
      <w:numFmt w:val="bullet"/>
      <w:lvlText w:val="o"/>
      <w:lvlJc w:val="left"/>
      <w:pPr>
        <w:ind w:left="5820" w:hanging="360"/>
      </w:pPr>
      <w:rPr>
        <w:rFonts w:ascii="Courier New" w:hAnsi="Courier New" w:cs="Courier New" w:hint="default"/>
      </w:rPr>
    </w:lvl>
    <w:lvl w:ilvl="8" w:tplc="240A0005">
      <w:start w:val="1"/>
      <w:numFmt w:val="bullet"/>
      <w:lvlText w:val=""/>
      <w:lvlJc w:val="left"/>
      <w:pPr>
        <w:ind w:left="6540" w:hanging="360"/>
      </w:pPr>
      <w:rPr>
        <w:rFonts w:ascii="Wingdings" w:hAnsi="Wingdings" w:hint="default"/>
      </w:rPr>
    </w:lvl>
  </w:abstractNum>
  <w:abstractNum w:abstractNumId="27" w15:restartNumberingAfterBreak="0">
    <w:nsid w:val="346E1CEA"/>
    <w:multiLevelType w:val="hybridMultilevel"/>
    <w:tmpl w:val="FCFC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D62126"/>
    <w:multiLevelType w:val="hybridMultilevel"/>
    <w:tmpl w:val="F3441C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D0243EB"/>
    <w:multiLevelType w:val="hybridMultilevel"/>
    <w:tmpl w:val="C65AF9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4C813315"/>
    <w:multiLevelType w:val="multilevel"/>
    <w:tmpl w:val="28E65CEE"/>
    <w:lvl w:ilvl="0">
      <w:start w:val="1"/>
      <w:numFmt w:val="decimal"/>
      <w:lvlText w:val="%1."/>
      <w:lvlJc w:val="left"/>
      <w:pPr>
        <w:ind w:left="720" w:hanging="360"/>
      </w:pPr>
      <w:rPr>
        <w:b/>
      </w:rPr>
    </w:lvl>
    <w:lvl w:ilvl="1">
      <w:start w:val="3"/>
      <w:numFmt w:val="decimal"/>
      <w:isLgl/>
      <w:lvlText w:val="%1.%2"/>
      <w:lvlJc w:val="left"/>
      <w:pPr>
        <w:ind w:left="990" w:hanging="63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1" w15:restartNumberingAfterBreak="0">
    <w:nsid w:val="53FC268C"/>
    <w:multiLevelType w:val="hybridMultilevel"/>
    <w:tmpl w:val="328A49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92350CB"/>
    <w:multiLevelType w:val="hybridMultilevel"/>
    <w:tmpl w:val="75D006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0D4542"/>
    <w:multiLevelType w:val="hybridMultilevel"/>
    <w:tmpl w:val="997CA6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B522314"/>
    <w:multiLevelType w:val="hybridMultilevel"/>
    <w:tmpl w:val="D6E0D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C447738"/>
    <w:multiLevelType w:val="hybridMultilevel"/>
    <w:tmpl w:val="CB701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038204C"/>
    <w:multiLevelType w:val="hybridMultilevel"/>
    <w:tmpl w:val="747C558A"/>
    <w:lvl w:ilvl="0" w:tplc="EFECF746">
      <w:start w:val="1"/>
      <w:numFmt w:val="decimal"/>
      <w:lvlText w:val="%1."/>
      <w:lvlJc w:val="left"/>
      <w:pPr>
        <w:tabs>
          <w:tab w:val="num" w:pos="720"/>
        </w:tabs>
        <w:ind w:left="720" w:hanging="360"/>
      </w:pPr>
    </w:lvl>
    <w:lvl w:ilvl="1" w:tplc="F6B6380A" w:tentative="1">
      <w:start w:val="1"/>
      <w:numFmt w:val="decimal"/>
      <w:lvlText w:val="%2."/>
      <w:lvlJc w:val="left"/>
      <w:pPr>
        <w:tabs>
          <w:tab w:val="num" w:pos="1440"/>
        </w:tabs>
        <w:ind w:left="1440" w:hanging="360"/>
      </w:pPr>
    </w:lvl>
    <w:lvl w:ilvl="2" w:tplc="41C455F8" w:tentative="1">
      <w:start w:val="1"/>
      <w:numFmt w:val="decimal"/>
      <w:lvlText w:val="%3."/>
      <w:lvlJc w:val="left"/>
      <w:pPr>
        <w:tabs>
          <w:tab w:val="num" w:pos="2160"/>
        </w:tabs>
        <w:ind w:left="2160" w:hanging="360"/>
      </w:pPr>
    </w:lvl>
    <w:lvl w:ilvl="3" w:tplc="757EDD5C" w:tentative="1">
      <w:start w:val="1"/>
      <w:numFmt w:val="decimal"/>
      <w:lvlText w:val="%4."/>
      <w:lvlJc w:val="left"/>
      <w:pPr>
        <w:tabs>
          <w:tab w:val="num" w:pos="2880"/>
        </w:tabs>
        <w:ind w:left="2880" w:hanging="360"/>
      </w:pPr>
    </w:lvl>
    <w:lvl w:ilvl="4" w:tplc="95F8DB00" w:tentative="1">
      <w:start w:val="1"/>
      <w:numFmt w:val="decimal"/>
      <w:lvlText w:val="%5."/>
      <w:lvlJc w:val="left"/>
      <w:pPr>
        <w:tabs>
          <w:tab w:val="num" w:pos="3600"/>
        </w:tabs>
        <w:ind w:left="3600" w:hanging="360"/>
      </w:pPr>
    </w:lvl>
    <w:lvl w:ilvl="5" w:tplc="28EEB92E" w:tentative="1">
      <w:start w:val="1"/>
      <w:numFmt w:val="decimal"/>
      <w:lvlText w:val="%6."/>
      <w:lvlJc w:val="left"/>
      <w:pPr>
        <w:tabs>
          <w:tab w:val="num" w:pos="4320"/>
        </w:tabs>
        <w:ind w:left="4320" w:hanging="360"/>
      </w:pPr>
    </w:lvl>
    <w:lvl w:ilvl="6" w:tplc="CEE606B4" w:tentative="1">
      <w:start w:val="1"/>
      <w:numFmt w:val="decimal"/>
      <w:lvlText w:val="%7."/>
      <w:lvlJc w:val="left"/>
      <w:pPr>
        <w:tabs>
          <w:tab w:val="num" w:pos="5040"/>
        </w:tabs>
        <w:ind w:left="5040" w:hanging="360"/>
      </w:pPr>
    </w:lvl>
    <w:lvl w:ilvl="7" w:tplc="AC0CDE5E" w:tentative="1">
      <w:start w:val="1"/>
      <w:numFmt w:val="decimal"/>
      <w:lvlText w:val="%8."/>
      <w:lvlJc w:val="left"/>
      <w:pPr>
        <w:tabs>
          <w:tab w:val="num" w:pos="5760"/>
        </w:tabs>
        <w:ind w:left="5760" w:hanging="360"/>
      </w:pPr>
    </w:lvl>
    <w:lvl w:ilvl="8" w:tplc="614AC714" w:tentative="1">
      <w:start w:val="1"/>
      <w:numFmt w:val="decimal"/>
      <w:lvlText w:val="%9."/>
      <w:lvlJc w:val="left"/>
      <w:pPr>
        <w:tabs>
          <w:tab w:val="num" w:pos="6480"/>
        </w:tabs>
        <w:ind w:left="6480" w:hanging="360"/>
      </w:pPr>
    </w:lvl>
  </w:abstractNum>
  <w:abstractNum w:abstractNumId="37" w15:restartNumberingAfterBreak="0">
    <w:nsid w:val="60C65128"/>
    <w:multiLevelType w:val="hybridMultilevel"/>
    <w:tmpl w:val="7F1859A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8" w15:restartNumberingAfterBreak="0">
    <w:nsid w:val="6F4C1612"/>
    <w:multiLevelType w:val="hybridMultilevel"/>
    <w:tmpl w:val="F5B83EFC"/>
    <w:lvl w:ilvl="0" w:tplc="B1629FD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1923932"/>
    <w:multiLevelType w:val="hybridMultilevel"/>
    <w:tmpl w:val="317CC3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3054775"/>
    <w:multiLevelType w:val="hybridMultilevel"/>
    <w:tmpl w:val="492EC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8C1552"/>
    <w:multiLevelType w:val="hybridMultilevel"/>
    <w:tmpl w:val="533EC61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97129EB"/>
    <w:multiLevelType w:val="hybridMultilevel"/>
    <w:tmpl w:val="92BA79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A4B63EC"/>
    <w:multiLevelType w:val="hybridMultilevel"/>
    <w:tmpl w:val="7D906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7F2D2D99"/>
    <w:multiLevelType w:val="hybridMultilevel"/>
    <w:tmpl w:val="382AFF7E"/>
    <w:lvl w:ilvl="0" w:tplc="2DEC3EAA">
      <w:start w:val="1"/>
      <w:numFmt w:val="decimal"/>
      <w:lvlText w:val="%1."/>
      <w:lvlJc w:val="left"/>
      <w:pPr>
        <w:ind w:left="644" w:hanging="360"/>
      </w:pPr>
      <w:rPr>
        <w:rFonts w:ascii="Arial Narrow" w:eastAsiaTheme="minorHAnsi" w:hAnsi="Arial Narrow" w:cstheme="minorBid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32"/>
  </w:num>
  <w:num w:numId="2">
    <w:abstractNumId w:val="3"/>
  </w:num>
  <w:num w:numId="3">
    <w:abstractNumId w:val="3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27"/>
  </w:num>
  <w:num w:numId="6">
    <w:abstractNumId w:val="25"/>
  </w:num>
  <w:num w:numId="7">
    <w:abstractNumId w:val="16"/>
  </w:num>
  <w:num w:numId="8">
    <w:abstractNumId w:val="5"/>
  </w:num>
  <w:num w:numId="9">
    <w:abstractNumId w:val="36"/>
  </w:num>
  <w:num w:numId="10">
    <w:abstractNumId w:val="17"/>
  </w:num>
  <w:num w:numId="11">
    <w:abstractNumId w:val="1"/>
  </w:num>
  <w:num w:numId="12">
    <w:abstractNumId w:val="19"/>
  </w:num>
  <w:num w:numId="13">
    <w:abstractNumId w:val="8"/>
  </w:num>
  <w:num w:numId="14">
    <w:abstractNumId w:val="40"/>
  </w:num>
  <w:num w:numId="15">
    <w:abstractNumId w:val="11"/>
  </w:num>
  <w:num w:numId="16">
    <w:abstractNumId w:val="22"/>
  </w:num>
  <w:num w:numId="17">
    <w:abstractNumId w:val="18"/>
  </w:num>
  <w:num w:numId="18">
    <w:abstractNumId w:val="35"/>
  </w:num>
  <w:num w:numId="19">
    <w:abstractNumId w:val="6"/>
  </w:num>
  <w:num w:numId="20">
    <w:abstractNumId w:val="13"/>
  </w:num>
  <w:num w:numId="21">
    <w:abstractNumId w:val="37"/>
  </w:num>
  <w:num w:numId="22">
    <w:abstractNumId w:val="21"/>
  </w:num>
  <w:num w:numId="23">
    <w:abstractNumId w:val="38"/>
  </w:num>
  <w:num w:numId="24">
    <w:abstractNumId w:val="7"/>
  </w:num>
  <w:num w:numId="25">
    <w:abstractNumId w:val="24"/>
  </w:num>
  <w:num w:numId="26">
    <w:abstractNumId w:val="44"/>
  </w:num>
  <w:num w:numId="27">
    <w:abstractNumId w:val="9"/>
  </w:num>
  <w:num w:numId="28">
    <w:abstractNumId w:val="33"/>
  </w:num>
  <w:num w:numId="29">
    <w:abstractNumId w:val="20"/>
  </w:num>
  <w:num w:numId="30">
    <w:abstractNumId w:val="4"/>
  </w:num>
  <w:num w:numId="31">
    <w:abstractNumId w:val="15"/>
  </w:num>
  <w:num w:numId="32">
    <w:abstractNumId w:val="10"/>
  </w:num>
  <w:num w:numId="33">
    <w:abstractNumId w:val="39"/>
  </w:num>
  <w:num w:numId="34">
    <w:abstractNumId w:val="34"/>
  </w:num>
  <w:num w:numId="35">
    <w:abstractNumId w:val="23"/>
  </w:num>
  <w:num w:numId="36">
    <w:abstractNumId w:val="28"/>
  </w:num>
  <w:num w:numId="37">
    <w:abstractNumId w:val="0"/>
  </w:num>
  <w:num w:numId="38">
    <w:abstractNumId w:val="14"/>
  </w:num>
  <w:num w:numId="39">
    <w:abstractNumId w:val="12"/>
  </w:num>
  <w:num w:numId="40">
    <w:abstractNumId w:val="42"/>
  </w:num>
  <w:num w:numId="41">
    <w:abstractNumId w:val="26"/>
  </w:num>
  <w:num w:numId="42">
    <w:abstractNumId w:val="41"/>
  </w:num>
  <w:num w:numId="43">
    <w:abstractNumId w:val="29"/>
  </w:num>
  <w:num w:numId="44">
    <w:abstractNumId w:val="43"/>
  </w:num>
  <w:num w:numId="45">
    <w:abstractNumId w:val="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8"/>
    <w:rsid w:val="00001FA1"/>
    <w:rsid w:val="0000202D"/>
    <w:rsid w:val="0000569C"/>
    <w:rsid w:val="00007A85"/>
    <w:rsid w:val="000118B0"/>
    <w:rsid w:val="0003108E"/>
    <w:rsid w:val="0003476D"/>
    <w:rsid w:val="0004213A"/>
    <w:rsid w:val="00071333"/>
    <w:rsid w:val="00085F06"/>
    <w:rsid w:val="00096B0D"/>
    <w:rsid w:val="000B60AA"/>
    <w:rsid w:val="000C1327"/>
    <w:rsid w:val="000C4563"/>
    <w:rsid w:val="000C751C"/>
    <w:rsid w:val="000D0778"/>
    <w:rsid w:val="000D08F4"/>
    <w:rsid w:val="000E0320"/>
    <w:rsid w:val="000E2D1D"/>
    <w:rsid w:val="000E4287"/>
    <w:rsid w:val="000E73CA"/>
    <w:rsid w:val="000F035F"/>
    <w:rsid w:val="000F3DFE"/>
    <w:rsid w:val="000F578E"/>
    <w:rsid w:val="001121C4"/>
    <w:rsid w:val="0011402D"/>
    <w:rsid w:val="0011636A"/>
    <w:rsid w:val="001353DD"/>
    <w:rsid w:val="00141730"/>
    <w:rsid w:val="00144088"/>
    <w:rsid w:val="00153E78"/>
    <w:rsid w:val="00154CDF"/>
    <w:rsid w:val="00161F15"/>
    <w:rsid w:val="00174BF5"/>
    <w:rsid w:val="00175A4D"/>
    <w:rsid w:val="001917DA"/>
    <w:rsid w:val="00192E3B"/>
    <w:rsid w:val="001A327F"/>
    <w:rsid w:val="001A7033"/>
    <w:rsid w:val="001C31AD"/>
    <w:rsid w:val="001D252B"/>
    <w:rsid w:val="001E20A8"/>
    <w:rsid w:val="001E4027"/>
    <w:rsid w:val="001E599F"/>
    <w:rsid w:val="001E667B"/>
    <w:rsid w:val="001F335D"/>
    <w:rsid w:val="001F3712"/>
    <w:rsid w:val="00205E37"/>
    <w:rsid w:val="00207D58"/>
    <w:rsid w:val="00223425"/>
    <w:rsid w:val="00226D0E"/>
    <w:rsid w:val="00236682"/>
    <w:rsid w:val="00251D0C"/>
    <w:rsid w:val="0026075C"/>
    <w:rsid w:val="00272D3E"/>
    <w:rsid w:val="00274C7E"/>
    <w:rsid w:val="00291B5B"/>
    <w:rsid w:val="00294676"/>
    <w:rsid w:val="002A19D2"/>
    <w:rsid w:val="002A5342"/>
    <w:rsid w:val="002A630D"/>
    <w:rsid w:val="002C2C2A"/>
    <w:rsid w:val="002E0186"/>
    <w:rsid w:val="002E3B20"/>
    <w:rsid w:val="002E6904"/>
    <w:rsid w:val="002F178A"/>
    <w:rsid w:val="002F3F24"/>
    <w:rsid w:val="0030696C"/>
    <w:rsid w:val="00307BD2"/>
    <w:rsid w:val="00312FB1"/>
    <w:rsid w:val="00314C9A"/>
    <w:rsid w:val="00322A4B"/>
    <w:rsid w:val="003306C3"/>
    <w:rsid w:val="00337470"/>
    <w:rsid w:val="00356180"/>
    <w:rsid w:val="00360144"/>
    <w:rsid w:val="00370A00"/>
    <w:rsid w:val="00371476"/>
    <w:rsid w:val="00376F2E"/>
    <w:rsid w:val="003A26FB"/>
    <w:rsid w:val="003A406A"/>
    <w:rsid w:val="003A695B"/>
    <w:rsid w:val="003B5473"/>
    <w:rsid w:val="003D28B2"/>
    <w:rsid w:val="003D79D8"/>
    <w:rsid w:val="003E1986"/>
    <w:rsid w:val="00404217"/>
    <w:rsid w:val="00406DC3"/>
    <w:rsid w:val="00412111"/>
    <w:rsid w:val="004125BE"/>
    <w:rsid w:val="00451D8D"/>
    <w:rsid w:val="00466DDE"/>
    <w:rsid w:val="004770A9"/>
    <w:rsid w:val="00480AC3"/>
    <w:rsid w:val="00484FD3"/>
    <w:rsid w:val="00487EFE"/>
    <w:rsid w:val="004A089B"/>
    <w:rsid w:val="004B4C9F"/>
    <w:rsid w:val="004C4857"/>
    <w:rsid w:val="004D208A"/>
    <w:rsid w:val="004D2AF0"/>
    <w:rsid w:val="004D50E3"/>
    <w:rsid w:val="004D6C39"/>
    <w:rsid w:val="004D79DA"/>
    <w:rsid w:val="004E14B2"/>
    <w:rsid w:val="004E3FD9"/>
    <w:rsid w:val="00513B7E"/>
    <w:rsid w:val="0052459D"/>
    <w:rsid w:val="005254A1"/>
    <w:rsid w:val="0053125F"/>
    <w:rsid w:val="005403EE"/>
    <w:rsid w:val="00543E2A"/>
    <w:rsid w:val="00546CEA"/>
    <w:rsid w:val="00557C8F"/>
    <w:rsid w:val="005654A7"/>
    <w:rsid w:val="0057480C"/>
    <w:rsid w:val="00574D1B"/>
    <w:rsid w:val="00585EF7"/>
    <w:rsid w:val="00591B65"/>
    <w:rsid w:val="00595F83"/>
    <w:rsid w:val="005A4B96"/>
    <w:rsid w:val="005B16D9"/>
    <w:rsid w:val="005B1FA0"/>
    <w:rsid w:val="005B75A2"/>
    <w:rsid w:val="005D2A22"/>
    <w:rsid w:val="005F27E1"/>
    <w:rsid w:val="005F71A4"/>
    <w:rsid w:val="00600D8F"/>
    <w:rsid w:val="00606400"/>
    <w:rsid w:val="0060690D"/>
    <w:rsid w:val="006108C0"/>
    <w:rsid w:val="00616349"/>
    <w:rsid w:val="00622470"/>
    <w:rsid w:val="00626978"/>
    <w:rsid w:val="00630706"/>
    <w:rsid w:val="00631F15"/>
    <w:rsid w:val="00635BFF"/>
    <w:rsid w:val="0067602E"/>
    <w:rsid w:val="00680368"/>
    <w:rsid w:val="006856B7"/>
    <w:rsid w:val="00685ED0"/>
    <w:rsid w:val="00694108"/>
    <w:rsid w:val="006A721F"/>
    <w:rsid w:val="006B482A"/>
    <w:rsid w:val="006B68E6"/>
    <w:rsid w:val="006D39A4"/>
    <w:rsid w:val="006F2975"/>
    <w:rsid w:val="007042F5"/>
    <w:rsid w:val="00704578"/>
    <w:rsid w:val="0071178A"/>
    <w:rsid w:val="00714B74"/>
    <w:rsid w:val="00720DF7"/>
    <w:rsid w:val="007246AC"/>
    <w:rsid w:val="00735CD9"/>
    <w:rsid w:val="0074492E"/>
    <w:rsid w:val="0075049F"/>
    <w:rsid w:val="00765A35"/>
    <w:rsid w:val="00765D0F"/>
    <w:rsid w:val="007663CF"/>
    <w:rsid w:val="00774A35"/>
    <w:rsid w:val="007753B5"/>
    <w:rsid w:val="0078129E"/>
    <w:rsid w:val="00796D42"/>
    <w:rsid w:val="007A0D32"/>
    <w:rsid w:val="007A0D90"/>
    <w:rsid w:val="007A5925"/>
    <w:rsid w:val="007C496F"/>
    <w:rsid w:val="007D25A8"/>
    <w:rsid w:val="007F454A"/>
    <w:rsid w:val="00804750"/>
    <w:rsid w:val="00812BC9"/>
    <w:rsid w:val="00815900"/>
    <w:rsid w:val="00817789"/>
    <w:rsid w:val="008329A4"/>
    <w:rsid w:val="00840158"/>
    <w:rsid w:val="008433BF"/>
    <w:rsid w:val="00845CC2"/>
    <w:rsid w:val="00851F3C"/>
    <w:rsid w:val="0085637E"/>
    <w:rsid w:val="008575E5"/>
    <w:rsid w:val="00860D3D"/>
    <w:rsid w:val="00862E70"/>
    <w:rsid w:val="008631DF"/>
    <w:rsid w:val="008634AA"/>
    <w:rsid w:val="00871EDC"/>
    <w:rsid w:val="00873A18"/>
    <w:rsid w:val="00887503"/>
    <w:rsid w:val="0089685D"/>
    <w:rsid w:val="008A5099"/>
    <w:rsid w:val="008B21D8"/>
    <w:rsid w:val="008C1F51"/>
    <w:rsid w:val="008C3A81"/>
    <w:rsid w:val="008C5CA1"/>
    <w:rsid w:val="008D11EC"/>
    <w:rsid w:val="008D75E1"/>
    <w:rsid w:val="008F40F5"/>
    <w:rsid w:val="008F7BA9"/>
    <w:rsid w:val="00915274"/>
    <w:rsid w:val="009276B1"/>
    <w:rsid w:val="00936FA0"/>
    <w:rsid w:val="00937C52"/>
    <w:rsid w:val="00955F6F"/>
    <w:rsid w:val="00956771"/>
    <w:rsid w:val="00962A92"/>
    <w:rsid w:val="00964777"/>
    <w:rsid w:val="00980865"/>
    <w:rsid w:val="00985ECF"/>
    <w:rsid w:val="00985FC7"/>
    <w:rsid w:val="00992419"/>
    <w:rsid w:val="009A2E9A"/>
    <w:rsid w:val="009B2B39"/>
    <w:rsid w:val="009B3550"/>
    <w:rsid w:val="009B66DB"/>
    <w:rsid w:val="009C449B"/>
    <w:rsid w:val="009C5BD0"/>
    <w:rsid w:val="009E3979"/>
    <w:rsid w:val="009E4EED"/>
    <w:rsid w:val="009E789A"/>
    <w:rsid w:val="009F48F7"/>
    <w:rsid w:val="009F669E"/>
    <w:rsid w:val="00A10C00"/>
    <w:rsid w:val="00A11A19"/>
    <w:rsid w:val="00A1576E"/>
    <w:rsid w:val="00A1674D"/>
    <w:rsid w:val="00A17274"/>
    <w:rsid w:val="00A177C8"/>
    <w:rsid w:val="00A3232C"/>
    <w:rsid w:val="00A4196A"/>
    <w:rsid w:val="00A42001"/>
    <w:rsid w:val="00A457D4"/>
    <w:rsid w:val="00A5087D"/>
    <w:rsid w:val="00A747A8"/>
    <w:rsid w:val="00A830AF"/>
    <w:rsid w:val="00A91877"/>
    <w:rsid w:val="00A91AB4"/>
    <w:rsid w:val="00A95391"/>
    <w:rsid w:val="00AA0705"/>
    <w:rsid w:val="00AA250C"/>
    <w:rsid w:val="00AB6D35"/>
    <w:rsid w:val="00AC372D"/>
    <w:rsid w:val="00AC5AA4"/>
    <w:rsid w:val="00AC5BFC"/>
    <w:rsid w:val="00AD2D79"/>
    <w:rsid w:val="00AE5CA9"/>
    <w:rsid w:val="00B1111B"/>
    <w:rsid w:val="00B119D4"/>
    <w:rsid w:val="00B136AE"/>
    <w:rsid w:val="00B154AD"/>
    <w:rsid w:val="00B15E80"/>
    <w:rsid w:val="00B1689E"/>
    <w:rsid w:val="00B20C86"/>
    <w:rsid w:val="00B212C3"/>
    <w:rsid w:val="00B225FB"/>
    <w:rsid w:val="00B42861"/>
    <w:rsid w:val="00B47455"/>
    <w:rsid w:val="00B47992"/>
    <w:rsid w:val="00B543DA"/>
    <w:rsid w:val="00B54F07"/>
    <w:rsid w:val="00B7051D"/>
    <w:rsid w:val="00B80025"/>
    <w:rsid w:val="00B83359"/>
    <w:rsid w:val="00B93ACC"/>
    <w:rsid w:val="00BA0E60"/>
    <w:rsid w:val="00BA6E99"/>
    <w:rsid w:val="00BA7C3D"/>
    <w:rsid w:val="00BB023F"/>
    <w:rsid w:val="00BC56CF"/>
    <w:rsid w:val="00BD531B"/>
    <w:rsid w:val="00BE00B9"/>
    <w:rsid w:val="00BF7B22"/>
    <w:rsid w:val="00C04F53"/>
    <w:rsid w:val="00C30D1D"/>
    <w:rsid w:val="00C46204"/>
    <w:rsid w:val="00C57A5B"/>
    <w:rsid w:val="00C7594A"/>
    <w:rsid w:val="00C82684"/>
    <w:rsid w:val="00C828C2"/>
    <w:rsid w:val="00C92003"/>
    <w:rsid w:val="00C92A41"/>
    <w:rsid w:val="00CB3091"/>
    <w:rsid w:val="00CB5AEB"/>
    <w:rsid w:val="00CB7BC2"/>
    <w:rsid w:val="00CD4555"/>
    <w:rsid w:val="00CE26B9"/>
    <w:rsid w:val="00CE6294"/>
    <w:rsid w:val="00CF6E8B"/>
    <w:rsid w:val="00CF744C"/>
    <w:rsid w:val="00D03EA2"/>
    <w:rsid w:val="00D076B3"/>
    <w:rsid w:val="00D076DE"/>
    <w:rsid w:val="00D12AAA"/>
    <w:rsid w:val="00D16DC3"/>
    <w:rsid w:val="00D235C8"/>
    <w:rsid w:val="00D25F45"/>
    <w:rsid w:val="00D27510"/>
    <w:rsid w:val="00D41E9F"/>
    <w:rsid w:val="00D51568"/>
    <w:rsid w:val="00D67395"/>
    <w:rsid w:val="00D73A18"/>
    <w:rsid w:val="00D75621"/>
    <w:rsid w:val="00D86EC6"/>
    <w:rsid w:val="00D90C22"/>
    <w:rsid w:val="00DA1BCF"/>
    <w:rsid w:val="00DA6F05"/>
    <w:rsid w:val="00DB3A98"/>
    <w:rsid w:val="00DC1A13"/>
    <w:rsid w:val="00DC22A0"/>
    <w:rsid w:val="00DD410E"/>
    <w:rsid w:val="00DD493A"/>
    <w:rsid w:val="00DE0157"/>
    <w:rsid w:val="00DE64F4"/>
    <w:rsid w:val="00DF2AE2"/>
    <w:rsid w:val="00E2751E"/>
    <w:rsid w:val="00E338B9"/>
    <w:rsid w:val="00E41D8F"/>
    <w:rsid w:val="00E43374"/>
    <w:rsid w:val="00E568B2"/>
    <w:rsid w:val="00E6101C"/>
    <w:rsid w:val="00E65515"/>
    <w:rsid w:val="00E66E35"/>
    <w:rsid w:val="00E7254E"/>
    <w:rsid w:val="00E843E7"/>
    <w:rsid w:val="00E86BD2"/>
    <w:rsid w:val="00EA4440"/>
    <w:rsid w:val="00EA640B"/>
    <w:rsid w:val="00EB7E91"/>
    <w:rsid w:val="00EC4C37"/>
    <w:rsid w:val="00ED5178"/>
    <w:rsid w:val="00ED764A"/>
    <w:rsid w:val="00EE0881"/>
    <w:rsid w:val="00EE6709"/>
    <w:rsid w:val="00EF1DE2"/>
    <w:rsid w:val="00F02F71"/>
    <w:rsid w:val="00F04C5F"/>
    <w:rsid w:val="00F21A23"/>
    <w:rsid w:val="00F234DD"/>
    <w:rsid w:val="00F31226"/>
    <w:rsid w:val="00F42425"/>
    <w:rsid w:val="00F45848"/>
    <w:rsid w:val="00F51EC1"/>
    <w:rsid w:val="00F61518"/>
    <w:rsid w:val="00F80832"/>
    <w:rsid w:val="00F8511A"/>
    <w:rsid w:val="00F92B4D"/>
    <w:rsid w:val="00F960FD"/>
    <w:rsid w:val="00F97147"/>
    <w:rsid w:val="00FA6D6F"/>
    <w:rsid w:val="00FD641B"/>
    <w:rsid w:val="00FE372C"/>
    <w:rsid w:val="00FE58E6"/>
    <w:rsid w:val="00FE7846"/>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048FDF-F656-462D-9670-A600217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a0">
    <w:name w:val="Pa0"/>
    <w:basedOn w:val="Normal"/>
    <w:next w:val="Normal"/>
    <w:uiPriority w:val="99"/>
    <w:rsid w:val="00704578"/>
    <w:pPr>
      <w:autoSpaceDE w:val="0"/>
      <w:autoSpaceDN w:val="0"/>
      <w:adjustRightInd w:val="0"/>
      <w:spacing w:after="0" w:line="241" w:lineRule="atLeast"/>
    </w:pPr>
    <w:rPr>
      <w:rFonts w:ascii="GillSans" w:eastAsia="Calibri" w:hAnsi="GillSans" w:cs="Times New Roman"/>
      <w:sz w:val="24"/>
      <w:szCs w:val="24"/>
      <w:lang w:val="es-CO"/>
    </w:rPr>
  </w:style>
  <w:style w:type="character" w:customStyle="1" w:styleId="A0">
    <w:name w:val="A0"/>
    <w:uiPriority w:val="99"/>
    <w:rsid w:val="00704578"/>
    <w:rPr>
      <w:rFonts w:cs="GillSans"/>
      <w:color w:val="211D1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078790245">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44B48-F36D-47FA-845E-3AF9E95C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2105</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Gloria Amparo Sanchez</cp:lastModifiedBy>
  <cp:revision>2</cp:revision>
  <cp:lastPrinted>2015-11-13T16:11:00Z</cp:lastPrinted>
  <dcterms:created xsi:type="dcterms:W3CDTF">2017-05-08T16:06:00Z</dcterms:created>
  <dcterms:modified xsi:type="dcterms:W3CDTF">2017-05-08T16:06:00Z</dcterms:modified>
</cp:coreProperties>
</file>