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0" w:rsidRPr="00156464" w:rsidRDefault="00606400" w:rsidP="009D17CF">
      <w:pPr>
        <w:spacing w:after="0" w:line="240" w:lineRule="auto"/>
        <w:jc w:val="center"/>
        <w:rPr>
          <w:rFonts w:ascii="Swis721 Lt BT" w:eastAsia="Times New Roman" w:hAnsi="Swis721 Lt BT" w:cs="Times New Roman"/>
          <w:b/>
          <w:sz w:val="24"/>
          <w:szCs w:val="24"/>
          <w:lang w:eastAsia="es-ES"/>
        </w:rPr>
      </w:pPr>
    </w:p>
    <w:p w:rsidR="00C30D1D" w:rsidRPr="00156464" w:rsidRDefault="00C30D1D"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9D17CF">
      <w:pPr>
        <w:spacing w:after="0" w:line="240" w:lineRule="auto"/>
        <w:jc w:val="center"/>
        <w:rPr>
          <w:rFonts w:ascii="Swis721 Lt BT" w:eastAsia="Times New Roman" w:hAnsi="Swis721 Lt BT" w:cs="Times New Roman"/>
          <w:b/>
          <w:sz w:val="24"/>
          <w:szCs w:val="24"/>
          <w:lang w:eastAsia="es-ES"/>
        </w:rPr>
      </w:pP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7042F5" w:rsidRPr="00156464" w:rsidRDefault="00704578" w:rsidP="009D17CF">
      <w:pPr>
        <w:spacing w:after="0" w:line="24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a Oficina de Planeación presenta lo</w:t>
      </w:r>
      <w:r w:rsidR="00FD5C5A">
        <w:rPr>
          <w:rFonts w:ascii="Swis721 Lt BT" w:eastAsia="Times New Roman" w:hAnsi="Swis721 Lt BT" w:cs="Times New Roman"/>
          <w:sz w:val="24"/>
          <w:szCs w:val="24"/>
          <w:lang w:eastAsia="es-ES"/>
        </w:rPr>
        <w:t>s</w:t>
      </w:r>
      <w:r w:rsidR="0053125F" w:rsidRPr="00156464">
        <w:rPr>
          <w:rFonts w:ascii="Swis721 Lt BT" w:eastAsia="Times New Roman" w:hAnsi="Swis721 Lt BT" w:cs="Times New Roman"/>
          <w:sz w:val="24"/>
          <w:szCs w:val="24"/>
          <w:lang w:eastAsia="es-ES"/>
        </w:rPr>
        <w:t xml:space="preserve"> resultados </w:t>
      </w:r>
      <w:r w:rsidR="00312FB1" w:rsidRPr="00156464">
        <w:rPr>
          <w:rFonts w:ascii="Swis721 Lt BT" w:eastAsia="Times New Roman" w:hAnsi="Swis721 Lt BT" w:cs="Times New Roman"/>
          <w:sz w:val="24"/>
          <w:szCs w:val="24"/>
          <w:lang w:eastAsia="es-ES"/>
        </w:rPr>
        <w:t xml:space="preserve">durante el </w:t>
      </w:r>
      <w:r w:rsidR="00A87F59">
        <w:rPr>
          <w:rFonts w:ascii="Swis721 Lt BT" w:eastAsia="Times New Roman" w:hAnsi="Swis721 Lt BT" w:cs="Times New Roman"/>
          <w:sz w:val="24"/>
          <w:szCs w:val="24"/>
          <w:lang w:eastAsia="es-ES"/>
        </w:rPr>
        <w:t>primer</w:t>
      </w:r>
      <w:r w:rsidR="007C004C" w:rsidRPr="00156464">
        <w:rPr>
          <w:rFonts w:ascii="Swis721 Lt BT" w:eastAsia="Times New Roman" w:hAnsi="Swis721 Lt BT" w:cs="Times New Roman"/>
          <w:sz w:val="24"/>
          <w:szCs w:val="24"/>
          <w:lang w:eastAsia="es-ES"/>
        </w:rPr>
        <w:t xml:space="preserve"> trimestre</w:t>
      </w:r>
      <w:r w:rsidR="001121C4" w:rsidRPr="00156464">
        <w:rPr>
          <w:rFonts w:ascii="Swis721 Lt BT" w:eastAsia="Times New Roman" w:hAnsi="Swis721 Lt BT" w:cs="Times New Roman"/>
          <w:sz w:val="24"/>
          <w:szCs w:val="24"/>
          <w:lang w:eastAsia="es-ES"/>
        </w:rPr>
        <w:t xml:space="preserve"> </w:t>
      </w:r>
      <w:r w:rsidR="00312FB1" w:rsidRPr="00156464">
        <w:rPr>
          <w:rFonts w:ascii="Swis721 Lt BT" w:eastAsia="Times New Roman" w:hAnsi="Swis721 Lt BT" w:cs="Times New Roman"/>
          <w:sz w:val="24"/>
          <w:szCs w:val="24"/>
          <w:lang w:eastAsia="es-ES"/>
        </w:rPr>
        <w:t xml:space="preserve">del año </w:t>
      </w:r>
      <w:r w:rsidR="001121C4" w:rsidRPr="00156464">
        <w:rPr>
          <w:rFonts w:ascii="Swis721 Lt BT" w:eastAsia="Times New Roman" w:hAnsi="Swis721 Lt BT" w:cs="Times New Roman"/>
          <w:sz w:val="24"/>
          <w:szCs w:val="24"/>
          <w:lang w:eastAsia="es-ES"/>
        </w:rPr>
        <w:t>201</w:t>
      </w:r>
      <w:r w:rsidR="00A87F59">
        <w:rPr>
          <w:rFonts w:ascii="Swis721 Lt BT" w:eastAsia="Times New Roman" w:hAnsi="Swis721 Lt BT" w:cs="Times New Roman"/>
          <w:sz w:val="24"/>
          <w:szCs w:val="24"/>
          <w:lang w:eastAsia="es-ES"/>
        </w:rPr>
        <w:t>8</w:t>
      </w:r>
      <w:r w:rsidR="0053125F" w:rsidRPr="00156464">
        <w:rPr>
          <w:rFonts w:ascii="Swis721 Lt BT" w:eastAsia="Times New Roman" w:hAnsi="Swis721 Lt BT" w:cs="Times New Roman"/>
          <w:sz w:val="24"/>
          <w:szCs w:val="24"/>
          <w:lang w:eastAsia="es-ES"/>
        </w:rPr>
        <w:t xml:space="preserve">, a través de sus diferentes </w:t>
      </w:r>
      <w:r w:rsidR="00A87F59">
        <w:rPr>
          <w:rFonts w:ascii="Swis721 Lt BT" w:eastAsia="Times New Roman" w:hAnsi="Swis721 Lt BT" w:cs="Times New Roman"/>
          <w:sz w:val="24"/>
          <w:szCs w:val="24"/>
          <w:lang w:eastAsia="es-ES"/>
        </w:rPr>
        <w:t>áreas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 Acreditación Institucional y de programas</w:t>
      </w:r>
      <w:r w:rsidR="007C004C" w:rsidRPr="00156464">
        <w:rPr>
          <w:rFonts w:ascii="Swis721 Lt BT" w:eastAsia="Times New Roman" w:hAnsi="Swis721 Lt BT" w:cs="Times New Roman"/>
          <w:sz w:val="24"/>
          <w:szCs w:val="24"/>
          <w:lang w:eastAsia="es-ES"/>
        </w:rPr>
        <w:t>, Aseguramiento</w:t>
      </w:r>
      <w:r w:rsidR="001121C4" w:rsidRPr="00156464">
        <w:rPr>
          <w:rFonts w:ascii="Swis721 Lt BT" w:eastAsia="Times New Roman" w:hAnsi="Swis721 Lt BT" w:cs="Times New Roman"/>
          <w:sz w:val="24"/>
          <w:szCs w:val="24"/>
          <w:lang w:eastAsia="es-ES"/>
        </w:rPr>
        <w:t xml:space="preserve"> de la calidad académica, </w:t>
      </w:r>
      <w:r w:rsidR="0053125F" w:rsidRPr="00156464">
        <w:rPr>
          <w:rFonts w:ascii="Swis721 Lt BT" w:eastAsia="Times New Roman" w:hAnsi="Swis721 Lt BT" w:cs="Times New Roman"/>
          <w:sz w:val="24"/>
          <w:szCs w:val="24"/>
          <w:lang w:eastAsia="es-ES"/>
        </w:rPr>
        <w:t xml:space="preserve">la Gestión del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144088" w:rsidRPr="00156464" w:rsidRDefault="001121C4"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Trimestre </w:t>
      </w:r>
      <w:r w:rsidR="00345AA6">
        <w:rPr>
          <w:rFonts w:ascii="Swis721 Lt BT" w:eastAsia="Times New Roman" w:hAnsi="Swis721 Lt BT" w:cs="Times New Roman"/>
          <w:b/>
          <w:sz w:val="24"/>
          <w:szCs w:val="24"/>
          <w:lang w:eastAsia="es-ES"/>
        </w:rPr>
        <w:t>I</w:t>
      </w:r>
      <w:r w:rsidR="00AD6826" w:rsidRPr="00156464">
        <w:rPr>
          <w:rFonts w:ascii="Swis721 Lt BT" w:eastAsia="Times New Roman" w:hAnsi="Swis721 Lt BT" w:cs="Times New Roman"/>
          <w:b/>
          <w:sz w:val="24"/>
          <w:szCs w:val="24"/>
          <w:lang w:eastAsia="es-ES"/>
        </w:rPr>
        <w:t>I</w:t>
      </w:r>
      <w:r w:rsidR="00144088" w:rsidRPr="00156464">
        <w:rPr>
          <w:rFonts w:ascii="Swis721 Lt BT" w:eastAsia="Times New Roman" w:hAnsi="Swis721 Lt BT" w:cs="Times New Roman"/>
          <w:b/>
          <w:sz w:val="24"/>
          <w:szCs w:val="24"/>
          <w:lang w:eastAsia="es-ES"/>
        </w:rPr>
        <w:t>- 201</w:t>
      </w:r>
      <w:r w:rsidR="00A87F59">
        <w:rPr>
          <w:rFonts w:ascii="Swis721 Lt BT" w:eastAsia="Times New Roman" w:hAnsi="Swis721 Lt BT" w:cs="Times New Roman"/>
          <w:b/>
          <w:sz w:val="24"/>
          <w:szCs w:val="24"/>
          <w:lang w:eastAsia="es-ES"/>
        </w:rPr>
        <w:t>8</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Listaclara"/>
        <w:tblW w:w="7873" w:type="dxa"/>
        <w:jc w:val="center"/>
        <w:tblLook w:val="04A0" w:firstRow="1" w:lastRow="0" w:firstColumn="1" w:lastColumn="0" w:noHBand="0" w:noVBand="1"/>
      </w:tblPr>
      <w:tblGrid>
        <w:gridCol w:w="3904"/>
        <w:gridCol w:w="3969"/>
      </w:tblGrid>
      <w:tr w:rsidR="00156464" w:rsidRPr="00156464" w:rsidTr="00E66E35">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873" w:type="dxa"/>
            <w:gridSpan w:val="2"/>
            <w:shd w:val="clear" w:color="auto" w:fill="BFBFBF" w:themeFill="background1" w:themeFillShade="BF"/>
            <w:noWrap/>
            <w:vAlign w:val="center"/>
            <w:hideMark/>
          </w:tcPr>
          <w:p w:rsidR="00685ED0" w:rsidRPr="00156464" w:rsidRDefault="00A95391" w:rsidP="009D17CF">
            <w:pPr>
              <w:jc w:val="center"/>
              <w:rPr>
                <w:rFonts w:ascii="Swis721 Lt BT" w:eastAsia="Times New Roman" w:hAnsi="Swis721 Lt BT" w:cs="Times New Roman"/>
                <w:b w:val="0"/>
                <w:bCs w:val="0"/>
                <w:color w:val="auto"/>
                <w:sz w:val="24"/>
                <w:szCs w:val="24"/>
                <w:lang w:eastAsia="es-ES"/>
              </w:rPr>
            </w:pPr>
            <w:r w:rsidRPr="00156464">
              <w:rPr>
                <w:rFonts w:ascii="Swis721 Lt BT" w:eastAsia="Times New Roman" w:hAnsi="Swis721 Lt BT" w:cs="Times New Roman"/>
                <w:b w:val="0"/>
                <w:bCs w:val="0"/>
                <w:color w:val="auto"/>
                <w:sz w:val="24"/>
                <w:szCs w:val="24"/>
                <w:lang w:eastAsia="es-ES"/>
              </w:rPr>
              <w:t xml:space="preserve">OFICINA </w:t>
            </w:r>
            <w:r w:rsidR="00685ED0" w:rsidRPr="00156464">
              <w:rPr>
                <w:rFonts w:ascii="Swis721 Lt BT" w:eastAsia="Times New Roman" w:hAnsi="Swis721 Lt BT" w:cs="Times New Roman"/>
                <w:b w:val="0"/>
                <w:bCs w:val="0"/>
                <w:color w:val="auto"/>
                <w:sz w:val="24"/>
                <w:szCs w:val="24"/>
                <w:lang w:eastAsia="es-ES"/>
              </w:rPr>
              <w:t>DE PLANEACIÓN</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156464" w:rsidRDefault="00A95391"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Áreas de Planeación</w:t>
            </w:r>
          </w:p>
        </w:tc>
        <w:tc>
          <w:tcPr>
            <w:tcW w:w="3969" w:type="dxa"/>
            <w:tcBorders>
              <w:left w:val="single" w:sz="4" w:space="0" w:color="auto"/>
            </w:tcBorders>
            <w:shd w:val="clear" w:color="auto" w:fill="BFBFBF" w:themeFill="background1" w:themeFillShade="BF"/>
            <w:noWrap/>
            <w:vAlign w:val="center"/>
            <w:hideMark/>
          </w:tcPr>
          <w:p w:rsidR="00A4196A" w:rsidRPr="00156464" w:rsidRDefault="00A95391"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Responsables de cada área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w:t>
            </w:r>
            <w:r w:rsidR="004C4857" w:rsidRPr="00156464">
              <w:rPr>
                <w:rFonts w:ascii="Swis721 Lt BT" w:eastAsia="Times New Roman" w:hAnsi="Swis721 Lt BT" w:cs="Times New Roman"/>
                <w:sz w:val="24"/>
                <w:szCs w:val="24"/>
                <w:lang w:eastAsia="es-ES"/>
              </w:rPr>
              <w:t xml:space="preserve"> Amparo</w:t>
            </w:r>
            <w:r w:rsidRPr="00156464">
              <w:rPr>
                <w:rFonts w:ascii="Swis721 Lt BT" w:eastAsia="Times New Roman" w:hAnsi="Swis721 Lt BT" w:cs="Times New Roman"/>
                <w:sz w:val="24"/>
                <w:szCs w:val="24"/>
                <w:lang w:eastAsia="es-ES"/>
              </w:rPr>
              <w:t xml:space="preserve"> Sánchez Maldonado</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1121C4"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w:t>
            </w:r>
            <w:r w:rsidR="00A4196A" w:rsidRPr="00156464">
              <w:rPr>
                <w:rFonts w:ascii="Swis721 Lt BT" w:eastAsia="Times New Roman" w:hAnsi="Swis721 Lt BT" w:cs="Times New Roman"/>
                <w:b w:val="0"/>
                <w:bCs w:val="0"/>
                <w:sz w:val="24"/>
                <w:szCs w:val="24"/>
                <w:lang w:eastAsia="es-ES"/>
              </w:rPr>
              <w:t>Reporte a Entes Externos</w:t>
            </w:r>
            <w:r w:rsidRPr="00156464">
              <w:rPr>
                <w:rFonts w:ascii="Swis721 Lt BT" w:eastAsia="Times New Roman" w:hAnsi="Swis721 Lt BT" w:cs="Times New Roman"/>
                <w:b w:val="0"/>
                <w:bCs w:val="0"/>
                <w:sz w:val="24"/>
                <w:szCs w:val="24"/>
                <w:lang w:eastAsia="es-ES"/>
              </w:rPr>
              <w:t>)</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87F59"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Solita del Pilar Giraldo Velasco</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 xml:space="preserve">Acreditación de Alta Calidad </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87F59"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A87F59">
              <w:rPr>
                <w:rFonts w:ascii="Swis721 Lt BT" w:eastAsia="Times New Roman" w:hAnsi="Swis721 Lt BT" w:cs="Times New Roman"/>
                <w:sz w:val="24"/>
                <w:szCs w:val="24"/>
                <w:lang w:eastAsia="es-ES"/>
              </w:rPr>
              <w:t>Claudia Beltrán Bermúdez</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Aseguramiento de la Calidad Académica</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María Helena Castrillón Parra</w:t>
            </w:r>
          </w:p>
        </w:tc>
      </w:tr>
    </w:tbl>
    <w:p w:rsidR="00543E2A" w:rsidRPr="00156464" w:rsidRDefault="00543E2A" w:rsidP="009D17CF">
      <w:pPr>
        <w:spacing w:after="0" w:line="240" w:lineRule="auto"/>
        <w:jc w:val="center"/>
        <w:rPr>
          <w:rFonts w:ascii="Swis721 Lt BT" w:eastAsia="Times New Roman" w:hAnsi="Swis721 Lt BT" w:cs="Times New Roman"/>
          <w:sz w:val="24"/>
          <w:szCs w:val="24"/>
          <w:lang w:eastAsia="es-ES"/>
        </w:rPr>
      </w:pPr>
    </w:p>
    <w:p w:rsidR="00546CEA" w:rsidRPr="00156464" w:rsidRDefault="00546CEA"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F02F71" w:rsidRPr="00156464" w:rsidRDefault="00704578"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sz w:val="24"/>
          <w:szCs w:val="24"/>
          <w:lang w:eastAsia="es-ES"/>
        </w:rPr>
        <w:br w:type="page"/>
      </w:r>
      <w:r w:rsidR="00144088" w:rsidRPr="00156464">
        <w:rPr>
          <w:rFonts w:ascii="Swis721 Lt BT" w:eastAsia="Times New Roman" w:hAnsi="Swis721 Lt BT" w:cs="Times New Roman"/>
          <w:b/>
          <w:sz w:val="24"/>
          <w:szCs w:val="24"/>
          <w:lang w:eastAsia="es-ES"/>
        </w:rPr>
        <w:lastRenderedPageBreak/>
        <w:t>RESULTADOS OBTENIDOS</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04521A" w:rsidRDefault="00704578" w:rsidP="009D17CF">
            <w:pPr>
              <w:jc w:val="both"/>
              <w:rPr>
                <w:rFonts w:ascii="Swis721 Lt BT" w:eastAsia="Times New Roman" w:hAnsi="Swis721 Lt BT" w:cs="Times New Roman"/>
                <w:b/>
                <w:color w:val="FF0000"/>
                <w:sz w:val="24"/>
                <w:szCs w:val="24"/>
                <w:lang w:eastAsia="es-ES"/>
              </w:rPr>
            </w:pPr>
            <w:r w:rsidRPr="0004521A">
              <w:rPr>
                <w:rFonts w:ascii="Swis721 Lt BT" w:eastAsia="Times New Roman" w:hAnsi="Swis721 Lt BT" w:cs="Times New Roman"/>
                <w:b/>
                <w:color w:val="FF0000"/>
                <w:sz w:val="24"/>
                <w:szCs w:val="24"/>
                <w:lang w:eastAsia="es-ES"/>
              </w:rPr>
              <w:t>PROYECTO PIDI 21: AMPLIACIÓN DEL ALCANCE DEL SISTEMA DE GESTIÓN DE CALIDAD</w:t>
            </w:r>
          </w:p>
          <w:p w:rsidR="00704578" w:rsidRPr="00156464" w:rsidRDefault="00704578" w:rsidP="009D17CF">
            <w:pPr>
              <w:jc w:val="both"/>
              <w:rPr>
                <w:rFonts w:cstheme="minorHAnsi"/>
                <w:bCs/>
                <w:lang w:val="es-CO"/>
              </w:rPr>
            </w:pPr>
          </w:p>
          <w:p w:rsidR="006A7066" w:rsidRPr="004C31EF" w:rsidRDefault="006A7066" w:rsidP="009D17CF">
            <w:pPr>
              <w:tabs>
                <w:tab w:val="num" w:pos="720"/>
              </w:tabs>
              <w:jc w:val="both"/>
              <w:rPr>
                <w:rFonts w:ascii="Swis721 Lt BT" w:eastAsia="Times New Roman" w:hAnsi="Swis721 Lt BT" w:cs="Times New Roman"/>
                <w:sz w:val="26"/>
                <w:szCs w:val="24"/>
                <w:lang w:eastAsia="es-ES"/>
              </w:rPr>
            </w:pPr>
            <w:r w:rsidRPr="00E740F4">
              <w:rPr>
                <w:rFonts w:cstheme="minorHAnsi"/>
                <w:b/>
                <w:bCs/>
                <w:sz w:val="24"/>
              </w:rPr>
              <w:t xml:space="preserve">Medición de indicadores: </w:t>
            </w:r>
            <w:r w:rsidR="008F513A" w:rsidRPr="004C31EF">
              <w:rPr>
                <w:rFonts w:cstheme="minorHAnsi"/>
                <w:bCs/>
                <w:sz w:val="24"/>
              </w:rPr>
              <w:t>Se consolidó</w:t>
            </w:r>
            <w:r w:rsidR="004C31EF" w:rsidRPr="004C31EF">
              <w:rPr>
                <w:rFonts w:cstheme="minorHAnsi"/>
                <w:bCs/>
                <w:sz w:val="24"/>
              </w:rPr>
              <w:t xml:space="preserve"> los resultados de indicadores de todos los procesos académicos y administrativos correspondientes al período 2018-1</w:t>
            </w:r>
          </w:p>
          <w:p w:rsidR="004C31EF" w:rsidRDefault="004C31EF" w:rsidP="009D17CF">
            <w:pPr>
              <w:rPr>
                <w:rFonts w:cstheme="minorHAnsi"/>
                <w:b/>
                <w:bCs/>
                <w:sz w:val="24"/>
              </w:rPr>
            </w:pPr>
          </w:p>
          <w:p w:rsidR="00132FEA" w:rsidRDefault="006A7066" w:rsidP="009D17CF">
            <w:pPr>
              <w:rPr>
                <w:rFonts w:cstheme="minorHAnsi"/>
                <w:bCs/>
                <w:sz w:val="24"/>
              </w:rPr>
            </w:pPr>
            <w:r w:rsidRPr="00E740F4">
              <w:rPr>
                <w:rFonts w:cstheme="minorHAnsi"/>
                <w:b/>
                <w:bCs/>
                <w:sz w:val="24"/>
              </w:rPr>
              <w:t xml:space="preserve">Evaluación de competencias del auditor: </w:t>
            </w:r>
            <w:r w:rsidR="008F513A" w:rsidRPr="00132FEA">
              <w:rPr>
                <w:rFonts w:cstheme="minorHAnsi"/>
                <w:bCs/>
                <w:sz w:val="24"/>
              </w:rPr>
              <w:t>Se hizo</w:t>
            </w:r>
            <w:r w:rsidR="00132FEA" w:rsidRPr="00132FEA">
              <w:rPr>
                <w:rFonts w:cstheme="minorHAnsi"/>
                <w:bCs/>
                <w:sz w:val="24"/>
              </w:rPr>
              <w:t xml:space="preserve"> evaluación de competencias de auditores </w:t>
            </w:r>
            <w:r w:rsidR="00132FEA">
              <w:rPr>
                <w:rFonts w:cstheme="minorHAnsi"/>
                <w:bCs/>
                <w:sz w:val="24"/>
              </w:rPr>
              <w:t>el 9 de abril de 2018.</w:t>
            </w:r>
          </w:p>
          <w:p w:rsidR="00132FEA" w:rsidRPr="00E740F4" w:rsidRDefault="00132FEA" w:rsidP="009D17CF">
            <w:pPr>
              <w:rPr>
                <w:rFonts w:cstheme="minorHAnsi"/>
                <w:b/>
                <w:bCs/>
                <w:sz w:val="24"/>
              </w:rPr>
            </w:pPr>
          </w:p>
          <w:p w:rsidR="004C31EF" w:rsidRDefault="006A7066" w:rsidP="009D17CF">
            <w:pPr>
              <w:jc w:val="both"/>
              <w:rPr>
                <w:rFonts w:cstheme="minorHAnsi"/>
                <w:bCs/>
                <w:sz w:val="24"/>
                <w:lang w:val="es-CO"/>
              </w:rPr>
            </w:pPr>
            <w:r w:rsidRPr="00E740F4">
              <w:rPr>
                <w:rFonts w:cstheme="minorHAnsi"/>
                <w:b/>
                <w:bCs/>
                <w:sz w:val="24"/>
              </w:rPr>
              <w:t>Auditorías internas de calidad</w:t>
            </w:r>
            <w:r w:rsidRPr="00E740F4">
              <w:rPr>
                <w:rFonts w:cstheme="minorHAnsi"/>
                <w:bCs/>
                <w:sz w:val="24"/>
              </w:rPr>
              <w:t xml:space="preserve">: </w:t>
            </w:r>
            <w:r w:rsidR="004C31EF" w:rsidRPr="004C31EF">
              <w:rPr>
                <w:rFonts w:cstheme="minorHAnsi"/>
                <w:bCs/>
                <w:sz w:val="24"/>
                <w:lang w:val="es-CO"/>
              </w:rPr>
              <w:t>Se realizó el primer ciclo de auditorías durante el mes de junio de 2018, donde nos brindó acompañamiento el Coordinador nacional de calidad como auditor para los procesos de:  Docencia, investigación, proyección social, investigación y dirección estratégica, se encontraron 19 hallazgos y 66 observaciones, se auditaron las facultades de:  Ingenierías, Ciencias económicas y Derecho.</w:t>
            </w:r>
          </w:p>
          <w:p w:rsidR="00B92E86" w:rsidRPr="00E740F4" w:rsidRDefault="00B92E86" w:rsidP="009D17CF">
            <w:pPr>
              <w:jc w:val="both"/>
              <w:rPr>
                <w:rFonts w:cstheme="minorHAnsi"/>
                <w:bCs/>
                <w:sz w:val="24"/>
                <w:lang w:val="es-CO"/>
              </w:rPr>
            </w:pPr>
          </w:p>
          <w:p w:rsidR="00B92E86" w:rsidRDefault="00B92E86" w:rsidP="009D17CF">
            <w:pPr>
              <w:jc w:val="both"/>
              <w:rPr>
                <w:rFonts w:cstheme="minorHAnsi"/>
                <w:bCs/>
                <w:sz w:val="24"/>
                <w:lang w:val="es-CO"/>
              </w:rPr>
            </w:pPr>
            <w:r>
              <w:rPr>
                <w:rFonts w:cstheme="minorHAnsi"/>
                <w:bCs/>
                <w:sz w:val="24"/>
                <w:lang w:val="es-CO"/>
              </w:rPr>
              <w:t xml:space="preserve">Objetivo de la auditoría: </w:t>
            </w:r>
            <w:r w:rsidRPr="00B92E86">
              <w:rPr>
                <w:rFonts w:cstheme="minorHAnsi"/>
                <w:bCs/>
                <w:sz w:val="24"/>
                <w:lang w:val="es-CO"/>
              </w:rPr>
              <w:t>Verificar y evaluar la conformidad de los requisitos del cliente, normativos y de la norma ISO 9001:2015 que aplican a la Universidad.</w:t>
            </w:r>
          </w:p>
          <w:p w:rsidR="00B92E86" w:rsidRDefault="00B92E86" w:rsidP="009D17CF">
            <w:pPr>
              <w:jc w:val="both"/>
              <w:rPr>
                <w:rFonts w:cstheme="minorHAnsi"/>
                <w:bCs/>
                <w:sz w:val="24"/>
                <w:lang w:val="es-CO"/>
              </w:rPr>
            </w:pPr>
          </w:p>
          <w:p w:rsidR="00B92E86" w:rsidRDefault="00B92E86" w:rsidP="009D17CF">
            <w:pPr>
              <w:jc w:val="both"/>
              <w:rPr>
                <w:rFonts w:cstheme="minorHAnsi"/>
                <w:bCs/>
                <w:sz w:val="24"/>
                <w:lang w:val="es-CO"/>
              </w:rPr>
            </w:pPr>
            <w:r>
              <w:rPr>
                <w:rFonts w:cstheme="minorHAnsi"/>
                <w:bCs/>
                <w:sz w:val="24"/>
                <w:lang w:val="es-CO"/>
              </w:rPr>
              <w:t>Criterios:</w:t>
            </w:r>
          </w:p>
          <w:p w:rsidR="00B92E86" w:rsidRPr="00B92E86" w:rsidRDefault="00B92E86" w:rsidP="009D17CF">
            <w:pPr>
              <w:jc w:val="both"/>
              <w:rPr>
                <w:rFonts w:cstheme="minorHAnsi"/>
                <w:bCs/>
                <w:sz w:val="24"/>
                <w:lang w:val="es-CO"/>
              </w:rPr>
            </w:pPr>
            <w:r w:rsidRPr="00B92E86">
              <w:rPr>
                <w:rFonts w:cstheme="minorHAnsi"/>
                <w:bCs/>
                <w:sz w:val="24"/>
                <w:lang w:val="es-CO"/>
              </w:rPr>
              <w:t>• Requisitos de la norma ISO 9001:2015, numerales aplicables a los procesos del S.G.C.</w:t>
            </w:r>
          </w:p>
          <w:p w:rsidR="00B92E86" w:rsidRPr="00B92E86" w:rsidRDefault="00B92E86" w:rsidP="009D17CF">
            <w:pPr>
              <w:jc w:val="both"/>
              <w:rPr>
                <w:rFonts w:cstheme="minorHAnsi"/>
                <w:bCs/>
                <w:sz w:val="24"/>
                <w:lang w:val="es-CO"/>
              </w:rPr>
            </w:pPr>
            <w:r w:rsidRPr="00B92E86">
              <w:rPr>
                <w:rFonts w:cstheme="minorHAnsi"/>
                <w:bCs/>
                <w:sz w:val="24"/>
                <w:lang w:val="es-CO"/>
              </w:rPr>
              <w:t xml:space="preserve">• Procedimientos y formatos. </w:t>
            </w:r>
          </w:p>
          <w:p w:rsidR="00B92E86" w:rsidRPr="00B92E86" w:rsidRDefault="00B92E86" w:rsidP="009D17CF">
            <w:pPr>
              <w:jc w:val="both"/>
              <w:rPr>
                <w:rFonts w:cstheme="minorHAnsi"/>
                <w:bCs/>
                <w:sz w:val="24"/>
                <w:lang w:val="es-CO"/>
              </w:rPr>
            </w:pPr>
            <w:r w:rsidRPr="00B92E86">
              <w:rPr>
                <w:rFonts w:cstheme="minorHAnsi"/>
                <w:bCs/>
                <w:sz w:val="24"/>
                <w:lang w:val="es-CO"/>
              </w:rPr>
              <w:t>• Acuerdos de servicios.</w:t>
            </w:r>
          </w:p>
          <w:p w:rsidR="00B92E86" w:rsidRPr="00B92E86" w:rsidRDefault="00B92E86" w:rsidP="009D17CF">
            <w:pPr>
              <w:jc w:val="both"/>
              <w:rPr>
                <w:rFonts w:cstheme="minorHAnsi"/>
                <w:bCs/>
                <w:sz w:val="24"/>
                <w:lang w:val="es-CO"/>
              </w:rPr>
            </w:pPr>
            <w:r w:rsidRPr="00B92E86">
              <w:rPr>
                <w:rFonts w:cstheme="minorHAnsi"/>
                <w:bCs/>
                <w:sz w:val="24"/>
                <w:lang w:val="es-CO"/>
              </w:rPr>
              <w:t>• Verificación del cumplimiento de la</w:t>
            </w:r>
            <w:r w:rsidR="00326189">
              <w:rPr>
                <w:rFonts w:cstheme="minorHAnsi"/>
                <w:bCs/>
                <w:sz w:val="24"/>
                <w:lang w:val="es-CO"/>
              </w:rPr>
              <w:t>s</w:t>
            </w:r>
            <w:r w:rsidRPr="00B92E86">
              <w:rPr>
                <w:rFonts w:cstheme="minorHAnsi"/>
                <w:bCs/>
                <w:sz w:val="24"/>
                <w:lang w:val="es-CO"/>
              </w:rPr>
              <w:t xml:space="preserve"> directrices de Gestión de Documental para el almacenamiento y conservación de los documentos en las oficinas.</w:t>
            </w:r>
          </w:p>
          <w:p w:rsidR="00B92E86" w:rsidRPr="00B92E86" w:rsidRDefault="00B92E86" w:rsidP="009D17CF">
            <w:pPr>
              <w:jc w:val="both"/>
              <w:rPr>
                <w:rFonts w:cstheme="minorHAnsi"/>
                <w:bCs/>
                <w:sz w:val="24"/>
                <w:lang w:val="es-CO"/>
              </w:rPr>
            </w:pPr>
            <w:r w:rsidRPr="00B92E86">
              <w:rPr>
                <w:rFonts w:cstheme="minorHAnsi"/>
                <w:bCs/>
                <w:sz w:val="24"/>
                <w:lang w:val="es-CO"/>
              </w:rPr>
              <w:t>• Normatividad Interna.  (Cumplimiento de la Normatividad Interna)</w:t>
            </w:r>
          </w:p>
          <w:p w:rsidR="00B92E86" w:rsidRPr="00B92E86" w:rsidRDefault="00B92E86" w:rsidP="009D17CF">
            <w:pPr>
              <w:jc w:val="both"/>
              <w:rPr>
                <w:rFonts w:cstheme="minorHAnsi"/>
                <w:bCs/>
                <w:sz w:val="24"/>
                <w:lang w:val="es-CO"/>
              </w:rPr>
            </w:pPr>
            <w:r w:rsidRPr="00B92E86">
              <w:rPr>
                <w:rFonts w:cstheme="minorHAnsi"/>
                <w:bCs/>
                <w:sz w:val="24"/>
                <w:lang w:val="es-CO"/>
              </w:rPr>
              <w:t>• Listado de documentación externa (Cumplimiento de la Normatividad Externa)</w:t>
            </w:r>
          </w:p>
          <w:p w:rsidR="00B92E86" w:rsidRPr="00B92E86" w:rsidRDefault="00B92E86" w:rsidP="009D17CF">
            <w:pPr>
              <w:jc w:val="both"/>
              <w:rPr>
                <w:rFonts w:cstheme="minorHAnsi"/>
                <w:bCs/>
                <w:sz w:val="24"/>
                <w:lang w:val="es-CO"/>
              </w:rPr>
            </w:pPr>
            <w:r w:rsidRPr="00B92E86">
              <w:rPr>
                <w:rFonts w:cstheme="minorHAnsi"/>
                <w:bCs/>
                <w:sz w:val="24"/>
                <w:lang w:val="es-CO"/>
              </w:rPr>
              <w:t xml:space="preserve">• Indicadores II Semestre del 2017 y sus fuentes de información. </w:t>
            </w:r>
          </w:p>
          <w:p w:rsidR="00B92E86" w:rsidRPr="00B92E86" w:rsidRDefault="00B92E86" w:rsidP="009D17CF">
            <w:pPr>
              <w:jc w:val="both"/>
              <w:rPr>
                <w:rFonts w:cstheme="minorHAnsi"/>
                <w:bCs/>
                <w:sz w:val="24"/>
                <w:lang w:val="es-CO"/>
              </w:rPr>
            </w:pPr>
            <w:r w:rsidRPr="00B92E86">
              <w:rPr>
                <w:rFonts w:cstheme="minorHAnsi"/>
                <w:bCs/>
                <w:sz w:val="24"/>
                <w:lang w:val="es-CO"/>
              </w:rPr>
              <w:t>• Estado Acciones Correctivas 2017.</w:t>
            </w:r>
          </w:p>
          <w:p w:rsidR="00B92E86" w:rsidRPr="00B92E86" w:rsidRDefault="00B92E86" w:rsidP="009D17CF">
            <w:pPr>
              <w:jc w:val="both"/>
              <w:rPr>
                <w:rFonts w:cstheme="minorHAnsi"/>
                <w:bCs/>
                <w:sz w:val="24"/>
                <w:lang w:val="es-CO"/>
              </w:rPr>
            </w:pPr>
            <w:r w:rsidRPr="00B92E86">
              <w:rPr>
                <w:rFonts w:cstheme="minorHAnsi"/>
                <w:bCs/>
                <w:sz w:val="24"/>
                <w:lang w:val="es-CO"/>
              </w:rPr>
              <w:t>• Estado Acciones para mitigar los riesgos.</w:t>
            </w:r>
          </w:p>
          <w:p w:rsidR="00B92E86" w:rsidRPr="00B92E86" w:rsidRDefault="00B92E86" w:rsidP="009D17CF">
            <w:pPr>
              <w:jc w:val="both"/>
              <w:rPr>
                <w:rFonts w:cstheme="minorHAnsi"/>
                <w:bCs/>
                <w:sz w:val="24"/>
                <w:lang w:val="es-CO"/>
              </w:rPr>
            </w:pPr>
            <w:r w:rsidRPr="00B92E86">
              <w:rPr>
                <w:rFonts w:cstheme="minorHAnsi"/>
                <w:bCs/>
                <w:sz w:val="24"/>
                <w:lang w:val="es-CO"/>
              </w:rPr>
              <w:t>• Servicio no conforme.</w:t>
            </w:r>
          </w:p>
          <w:p w:rsidR="00B92E86" w:rsidRPr="00B92E86" w:rsidRDefault="00B92E86" w:rsidP="009D17CF">
            <w:pPr>
              <w:jc w:val="both"/>
              <w:rPr>
                <w:rFonts w:cstheme="minorHAnsi"/>
                <w:bCs/>
                <w:sz w:val="24"/>
                <w:lang w:val="es-CO"/>
              </w:rPr>
            </w:pPr>
            <w:r w:rsidRPr="00B92E86">
              <w:rPr>
                <w:rFonts w:cstheme="minorHAnsi"/>
                <w:bCs/>
                <w:sz w:val="24"/>
                <w:lang w:val="es-CO"/>
              </w:rPr>
              <w:t>• Quejas II semestre de 2017 y soportes de la gestión para cierre de las quejas.</w:t>
            </w:r>
          </w:p>
          <w:p w:rsidR="00547A80" w:rsidRDefault="00B92E86" w:rsidP="009D17CF">
            <w:pPr>
              <w:tabs>
                <w:tab w:val="num" w:pos="720"/>
              </w:tabs>
              <w:jc w:val="both"/>
              <w:rPr>
                <w:rFonts w:ascii="Swis721 Lt BT" w:eastAsia="Times New Roman" w:hAnsi="Swis721 Lt BT" w:cs="Times New Roman"/>
                <w:sz w:val="24"/>
                <w:szCs w:val="24"/>
                <w:lang w:eastAsia="es-ES"/>
              </w:rPr>
            </w:pPr>
            <w:r w:rsidRPr="00B92E86">
              <w:rPr>
                <w:rFonts w:cstheme="minorHAnsi"/>
                <w:bCs/>
                <w:sz w:val="24"/>
                <w:lang w:val="es-CO"/>
              </w:rPr>
              <w:t xml:space="preserve">• Listado maestro de documentos y </w:t>
            </w:r>
            <w:r w:rsidR="00326189" w:rsidRPr="00B92E86">
              <w:rPr>
                <w:rFonts w:cstheme="minorHAnsi"/>
                <w:bCs/>
                <w:sz w:val="24"/>
                <w:lang w:val="es-CO"/>
              </w:rPr>
              <w:t>registros.</w:t>
            </w:r>
            <w:r w:rsidR="00326189">
              <w:rPr>
                <w:rFonts w:ascii="Swis721 Lt BT" w:eastAsia="Times New Roman" w:hAnsi="Swis721 Lt BT" w:cs="Times New Roman"/>
                <w:sz w:val="24"/>
                <w:szCs w:val="24"/>
                <w:lang w:eastAsia="es-ES"/>
              </w:rPr>
              <w:t xml:space="preserve"> Se</w:t>
            </w:r>
            <w:r w:rsidR="00547A80">
              <w:rPr>
                <w:rFonts w:ascii="Swis721 Lt BT" w:eastAsia="Times New Roman" w:hAnsi="Swis721 Lt BT" w:cs="Times New Roman"/>
                <w:sz w:val="24"/>
                <w:szCs w:val="24"/>
                <w:lang w:eastAsia="es-ES"/>
              </w:rPr>
              <w:t xml:space="preserve"> trabajaron las acciones correctivas con los titulares de procesos en los cuales se presentaron hallazgos y observaciones.</w:t>
            </w:r>
          </w:p>
          <w:p w:rsidR="00773803" w:rsidRDefault="00773803" w:rsidP="009D17CF">
            <w:pPr>
              <w:tabs>
                <w:tab w:val="num" w:pos="720"/>
              </w:tabs>
              <w:jc w:val="both"/>
              <w:rPr>
                <w:rFonts w:ascii="Swis721 Lt BT" w:eastAsia="Times New Roman" w:hAnsi="Swis721 Lt BT" w:cs="Times New Roman"/>
                <w:b/>
                <w:sz w:val="24"/>
                <w:szCs w:val="24"/>
                <w:lang w:eastAsia="es-ES"/>
              </w:rPr>
            </w:pPr>
          </w:p>
          <w:p w:rsidR="006A7066" w:rsidRDefault="006A7066" w:rsidP="009D17CF">
            <w:pPr>
              <w:tabs>
                <w:tab w:val="num" w:pos="720"/>
              </w:tabs>
              <w:jc w:val="both"/>
              <w:rPr>
                <w:rFonts w:ascii="Swis721 Lt BT" w:eastAsia="Times New Roman" w:hAnsi="Swis721 Lt BT" w:cs="Times New Roman"/>
                <w:sz w:val="24"/>
                <w:szCs w:val="24"/>
                <w:lang w:eastAsia="es-ES"/>
              </w:rPr>
            </w:pPr>
            <w:r w:rsidRPr="00D2520D">
              <w:rPr>
                <w:rFonts w:ascii="Swis721 Lt BT" w:eastAsia="Times New Roman" w:hAnsi="Swis721 Lt BT" w:cs="Times New Roman"/>
                <w:b/>
                <w:sz w:val="24"/>
                <w:szCs w:val="24"/>
                <w:lang w:eastAsia="es-ES"/>
              </w:rPr>
              <w:t>Evaluación de auditores:</w:t>
            </w:r>
            <w:r w:rsidR="00ED24A5">
              <w:rPr>
                <w:rFonts w:ascii="Swis721 Lt BT" w:eastAsia="Times New Roman" w:hAnsi="Swis721 Lt BT" w:cs="Times New Roman"/>
                <w:sz w:val="24"/>
                <w:szCs w:val="24"/>
                <w:lang w:eastAsia="es-ES"/>
              </w:rPr>
              <w:t xml:space="preserve"> </w:t>
            </w:r>
            <w:r w:rsidR="008E48A8">
              <w:rPr>
                <w:rFonts w:ascii="Swis721 Lt BT" w:eastAsia="Times New Roman" w:hAnsi="Swis721 Lt BT" w:cs="Times New Roman"/>
                <w:sz w:val="24"/>
                <w:szCs w:val="24"/>
                <w:lang w:eastAsia="es-ES"/>
              </w:rPr>
              <w:t>Una vez terminado el prime</w:t>
            </w:r>
            <w:r w:rsidR="004C31EF">
              <w:rPr>
                <w:rFonts w:ascii="Swis721 Lt BT" w:eastAsia="Times New Roman" w:hAnsi="Swis721 Lt BT" w:cs="Times New Roman"/>
                <w:sz w:val="24"/>
                <w:szCs w:val="24"/>
                <w:lang w:eastAsia="es-ES"/>
              </w:rPr>
              <w:t>r ciclo de auditoría se realizó</w:t>
            </w:r>
            <w:r w:rsidR="008E48A8">
              <w:rPr>
                <w:rFonts w:ascii="Swis721 Lt BT" w:eastAsia="Times New Roman" w:hAnsi="Swis721 Lt BT" w:cs="Times New Roman"/>
                <w:sz w:val="24"/>
                <w:szCs w:val="24"/>
                <w:lang w:eastAsia="es-ES"/>
              </w:rPr>
              <w:t xml:space="preserve"> la</w:t>
            </w:r>
            <w:r w:rsidR="00ED24A5">
              <w:rPr>
                <w:rFonts w:ascii="Swis721 Lt BT" w:eastAsia="Times New Roman" w:hAnsi="Swis721 Lt BT" w:cs="Times New Roman"/>
                <w:sz w:val="24"/>
                <w:szCs w:val="24"/>
                <w:lang w:eastAsia="es-ES"/>
              </w:rPr>
              <w:t xml:space="preserve"> evaluación de </w:t>
            </w:r>
            <w:r w:rsidR="00085767">
              <w:rPr>
                <w:rFonts w:ascii="Swis721 Lt BT" w:eastAsia="Times New Roman" w:hAnsi="Swis721 Lt BT" w:cs="Times New Roman"/>
                <w:sz w:val="24"/>
                <w:szCs w:val="24"/>
                <w:lang w:eastAsia="es-ES"/>
              </w:rPr>
              <w:t>auditores el</w:t>
            </w:r>
            <w:r w:rsidR="004C31EF">
              <w:rPr>
                <w:rFonts w:ascii="Swis721 Lt BT" w:eastAsia="Times New Roman" w:hAnsi="Swis721 Lt BT" w:cs="Times New Roman"/>
                <w:sz w:val="24"/>
                <w:szCs w:val="24"/>
                <w:lang w:eastAsia="es-ES"/>
              </w:rPr>
              <w:t xml:space="preserve"> 4 de julio de </w:t>
            </w:r>
            <w:r w:rsidR="00085767">
              <w:rPr>
                <w:rFonts w:ascii="Swis721 Lt BT" w:eastAsia="Times New Roman" w:hAnsi="Swis721 Lt BT" w:cs="Times New Roman"/>
                <w:sz w:val="24"/>
                <w:szCs w:val="24"/>
                <w:lang w:eastAsia="es-ES"/>
              </w:rPr>
              <w:t>2018 con</w:t>
            </w:r>
            <w:r w:rsidR="004C31EF">
              <w:rPr>
                <w:rFonts w:ascii="Swis721 Lt BT" w:eastAsia="Times New Roman" w:hAnsi="Swis721 Lt BT" w:cs="Times New Roman"/>
                <w:sz w:val="24"/>
                <w:szCs w:val="24"/>
                <w:lang w:eastAsia="es-ES"/>
              </w:rPr>
              <w:t xml:space="preserve"> un promedio de evaluación de 4,66 </w:t>
            </w:r>
          </w:p>
          <w:p w:rsidR="008E48A8" w:rsidRDefault="008E48A8" w:rsidP="009D17CF">
            <w:pPr>
              <w:tabs>
                <w:tab w:val="num" w:pos="720"/>
              </w:tabs>
              <w:jc w:val="both"/>
              <w:rPr>
                <w:rFonts w:ascii="Swis721 Lt BT" w:eastAsia="Times New Roman" w:hAnsi="Swis721 Lt BT" w:cs="Times New Roman"/>
                <w:sz w:val="24"/>
                <w:szCs w:val="24"/>
                <w:lang w:eastAsia="es-ES"/>
              </w:rPr>
            </w:pPr>
          </w:p>
          <w:p w:rsidR="00C3432D" w:rsidRDefault="000A490E" w:rsidP="009D17CF">
            <w:pPr>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Ajustes a procedimientos estándar</w:t>
            </w:r>
            <w:r w:rsidR="00704578" w:rsidRPr="00156464">
              <w:rPr>
                <w:rFonts w:ascii="Swis721 Lt BT" w:eastAsia="Times New Roman" w:hAnsi="Swis721 Lt BT" w:cs="Times New Roman"/>
                <w:sz w:val="24"/>
                <w:szCs w:val="24"/>
                <w:lang w:eastAsia="es-ES"/>
              </w:rPr>
              <w:t xml:space="preserve">: </w:t>
            </w:r>
            <w:r w:rsidR="00033498" w:rsidRPr="00033498">
              <w:rPr>
                <w:rFonts w:ascii="Swis721 Lt BT" w:eastAsia="Times New Roman" w:hAnsi="Swis721 Lt BT" w:cs="Times New Roman"/>
                <w:sz w:val="24"/>
                <w:szCs w:val="24"/>
                <w:lang w:eastAsia="es-ES"/>
              </w:rPr>
              <w:t xml:space="preserve">Se hace acompañamiento permanente a los procesos para hacer ajustes a los procedimientos y formatos para este período se ajustaron y crearon nuevas herramientas en los procesos académicos misionales, se trabajó con los procesos en la gestión del </w:t>
            </w:r>
            <w:r w:rsidR="00085767" w:rsidRPr="00033498">
              <w:rPr>
                <w:rFonts w:ascii="Swis721 Lt BT" w:eastAsia="Times New Roman" w:hAnsi="Swis721 Lt BT" w:cs="Times New Roman"/>
                <w:sz w:val="24"/>
                <w:szCs w:val="24"/>
                <w:lang w:eastAsia="es-ES"/>
              </w:rPr>
              <w:t>cambio, en</w:t>
            </w:r>
            <w:r w:rsidR="00033498" w:rsidRPr="00033498">
              <w:rPr>
                <w:rFonts w:ascii="Swis721 Lt BT" w:eastAsia="Times New Roman" w:hAnsi="Swis721 Lt BT" w:cs="Times New Roman"/>
                <w:sz w:val="24"/>
                <w:szCs w:val="24"/>
                <w:lang w:eastAsia="es-ES"/>
              </w:rPr>
              <w:t xml:space="preserve"> el diligenciamiento de la herramienta de </w:t>
            </w:r>
            <w:r w:rsidR="00085767" w:rsidRPr="00033498">
              <w:rPr>
                <w:rFonts w:ascii="Swis721 Lt BT" w:eastAsia="Times New Roman" w:hAnsi="Swis721 Lt BT" w:cs="Times New Roman"/>
                <w:sz w:val="24"/>
                <w:szCs w:val="24"/>
                <w:lang w:eastAsia="es-ES"/>
              </w:rPr>
              <w:t>comunicaciones, en</w:t>
            </w:r>
            <w:r w:rsidR="00033498" w:rsidRPr="00033498">
              <w:rPr>
                <w:rFonts w:ascii="Swis721 Lt BT" w:eastAsia="Times New Roman" w:hAnsi="Swis721 Lt BT" w:cs="Times New Roman"/>
                <w:sz w:val="24"/>
                <w:szCs w:val="24"/>
                <w:lang w:eastAsia="es-ES"/>
              </w:rPr>
              <w:t xml:space="preserve"> la matriz de partes interesadas y en el plan de capacitación académico de </w:t>
            </w:r>
            <w:r w:rsidR="008F513A" w:rsidRPr="00033498">
              <w:rPr>
                <w:rFonts w:ascii="Swis721 Lt BT" w:eastAsia="Times New Roman" w:hAnsi="Swis721 Lt BT" w:cs="Times New Roman"/>
                <w:sz w:val="24"/>
                <w:szCs w:val="24"/>
                <w:lang w:eastAsia="es-ES"/>
              </w:rPr>
              <w:t>docencia e</w:t>
            </w:r>
            <w:r w:rsidR="00033498" w:rsidRPr="00033498">
              <w:rPr>
                <w:rFonts w:ascii="Swis721 Lt BT" w:eastAsia="Times New Roman" w:hAnsi="Swis721 Lt BT" w:cs="Times New Roman"/>
                <w:sz w:val="24"/>
                <w:szCs w:val="24"/>
                <w:lang w:eastAsia="es-ES"/>
              </w:rPr>
              <w:t xml:space="preserve"> investigación</w:t>
            </w:r>
          </w:p>
          <w:p w:rsidR="00033498" w:rsidRDefault="00033498" w:rsidP="009D17CF">
            <w:pPr>
              <w:jc w:val="both"/>
              <w:rPr>
                <w:rFonts w:ascii="Swis721 Lt BT" w:eastAsia="Times New Roman" w:hAnsi="Swis721 Lt BT" w:cs="Times New Roman"/>
                <w:sz w:val="24"/>
                <w:szCs w:val="24"/>
                <w:lang w:eastAsia="es-ES"/>
              </w:rPr>
            </w:pPr>
          </w:p>
          <w:p w:rsidR="00FF47E7" w:rsidRPr="00FF47E7" w:rsidRDefault="0086129C" w:rsidP="00FF47E7">
            <w:pPr>
              <w:jc w:val="both"/>
              <w:rPr>
                <w:rFonts w:ascii="Swis721 Lt BT" w:eastAsia="Times New Roman" w:hAnsi="Swis721 Lt BT" w:cs="Times New Roman"/>
                <w:sz w:val="24"/>
                <w:szCs w:val="24"/>
                <w:lang w:eastAsia="es-ES"/>
              </w:rPr>
            </w:pPr>
            <w:r w:rsidRPr="0086129C">
              <w:rPr>
                <w:rFonts w:ascii="Swis721 Lt BT" w:eastAsia="Times New Roman" w:hAnsi="Swis721 Lt BT" w:cs="Times New Roman"/>
                <w:b/>
                <w:sz w:val="24"/>
                <w:szCs w:val="24"/>
                <w:lang w:eastAsia="es-ES"/>
              </w:rPr>
              <w:t>Actualiza</w:t>
            </w:r>
            <w:r w:rsidR="005A4A07">
              <w:rPr>
                <w:rFonts w:ascii="Swis721 Lt BT" w:eastAsia="Times New Roman" w:hAnsi="Swis721 Lt BT" w:cs="Times New Roman"/>
                <w:b/>
                <w:sz w:val="24"/>
                <w:szCs w:val="24"/>
                <w:lang w:eastAsia="es-ES"/>
              </w:rPr>
              <w:t xml:space="preserve">ción </w:t>
            </w:r>
            <w:r w:rsidR="00FA1E12">
              <w:rPr>
                <w:rFonts w:ascii="Swis721 Lt BT" w:eastAsia="Times New Roman" w:hAnsi="Swis721 Lt BT" w:cs="Times New Roman"/>
                <w:b/>
                <w:sz w:val="24"/>
                <w:szCs w:val="24"/>
                <w:lang w:eastAsia="es-ES"/>
              </w:rPr>
              <w:t>de</w:t>
            </w:r>
            <w:r w:rsidR="00FA1E12" w:rsidRPr="0086129C">
              <w:rPr>
                <w:rFonts w:ascii="Swis721 Lt BT" w:eastAsia="Times New Roman" w:hAnsi="Swis721 Lt BT" w:cs="Times New Roman"/>
                <w:b/>
                <w:sz w:val="24"/>
                <w:szCs w:val="24"/>
                <w:lang w:eastAsia="es-ES"/>
              </w:rPr>
              <w:t xml:space="preserve"> las</w:t>
            </w:r>
            <w:r w:rsidRPr="0086129C">
              <w:rPr>
                <w:rFonts w:ascii="Swis721 Lt BT" w:eastAsia="Times New Roman" w:hAnsi="Swis721 Lt BT" w:cs="Times New Roman"/>
                <w:b/>
                <w:sz w:val="24"/>
                <w:szCs w:val="24"/>
                <w:lang w:eastAsia="es-ES"/>
              </w:rPr>
              <w:t xml:space="preserve"> </w:t>
            </w:r>
            <w:r w:rsidR="00FA1E12" w:rsidRPr="0086129C">
              <w:rPr>
                <w:rFonts w:ascii="Swis721 Lt BT" w:eastAsia="Times New Roman" w:hAnsi="Swis721 Lt BT" w:cs="Times New Roman"/>
                <w:b/>
                <w:sz w:val="24"/>
                <w:szCs w:val="24"/>
                <w:lang w:eastAsia="es-ES"/>
              </w:rPr>
              <w:t>caracterizaciones Académico</w:t>
            </w:r>
            <w:r w:rsidRPr="0086129C">
              <w:rPr>
                <w:rFonts w:ascii="Swis721 Lt BT" w:eastAsia="Times New Roman" w:hAnsi="Swis721 Lt BT" w:cs="Times New Roman"/>
                <w:b/>
                <w:sz w:val="24"/>
                <w:szCs w:val="24"/>
                <w:lang w:eastAsia="es-ES"/>
              </w:rPr>
              <w:t xml:space="preserve"> - Administrativos</w:t>
            </w:r>
            <w:r w:rsidR="00704578" w:rsidRPr="00156464">
              <w:rPr>
                <w:rFonts w:ascii="Swis721 Lt BT" w:eastAsia="Times New Roman" w:hAnsi="Swis721 Lt BT" w:cs="Times New Roman"/>
                <w:sz w:val="24"/>
                <w:szCs w:val="24"/>
                <w:lang w:eastAsia="es-ES"/>
              </w:rPr>
              <w:t xml:space="preserve">:  </w:t>
            </w:r>
            <w:r w:rsidR="00FF47E7" w:rsidRPr="00FF47E7">
              <w:rPr>
                <w:rFonts w:ascii="Swis721 Lt BT" w:eastAsia="Times New Roman" w:hAnsi="Swis721 Lt BT" w:cs="Times New Roman"/>
                <w:sz w:val="24"/>
                <w:szCs w:val="24"/>
                <w:lang w:eastAsia="es-ES"/>
              </w:rPr>
              <w:t>Se hizo ajustes a las caracterizaciones de 3 procesos con la meto</w:t>
            </w:r>
            <w:r w:rsidR="00FF47E7">
              <w:rPr>
                <w:rFonts w:ascii="Swis721 Lt BT" w:eastAsia="Times New Roman" w:hAnsi="Swis721 Lt BT" w:cs="Times New Roman"/>
                <w:sz w:val="24"/>
                <w:szCs w:val="24"/>
                <w:lang w:eastAsia="es-ES"/>
              </w:rPr>
              <w:t>do</w:t>
            </w:r>
            <w:r w:rsidR="00FF47E7" w:rsidRPr="00FF47E7">
              <w:rPr>
                <w:rFonts w:ascii="Swis721 Lt BT" w:eastAsia="Times New Roman" w:hAnsi="Swis721 Lt BT" w:cs="Times New Roman"/>
                <w:sz w:val="24"/>
                <w:szCs w:val="24"/>
                <w:lang w:eastAsia="es-ES"/>
              </w:rPr>
              <w:t xml:space="preserve">logía de Planear, Hacer, Verificar y Actuar (PHVA): </w:t>
            </w:r>
          </w:p>
          <w:p w:rsidR="00FF47E7" w:rsidRPr="00FF47E7" w:rsidRDefault="00FF47E7" w:rsidP="00FF47E7">
            <w:pPr>
              <w:jc w:val="both"/>
              <w:rPr>
                <w:rFonts w:ascii="Swis721 Lt BT" w:eastAsia="Times New Roman" w:hAnsi="Swis721 Lt BT" w:cs="Times New Roman"/>
                <w:sz w:val="24"/>
                <w:szCs w:val="24"/>
                <w:lang w:eastAsia="es-ES"/>
              </w:rPr>
            </w:pPr>
            <w:r w:rsidRPr="00FF47E7">
              <w:rPr>
                <w:rFonts w:ascii="Swis721 Lt BT" w:eastAsia="Times New Roman" w:hAnsi="Swis721 Lt BT" w:cs="Times New Roman"/>
                <w:sz w:val="24"/>
                <w:szCs w:val="24"/>
                <w:lang w:eastAsia="es-ES"/>
              </w:rPr>
              <w:t>1. Servicios generales,</w:t>
            </w:r>
          </w:p>
          <w:p w:rsidR="00FF47E7" w:rsidRPr="00FF47E7" w:rsidRDefault="00FF47E7" w:rsidP="00FF47E7">
            <w:pPr>
              <w:jc w:val="both"/>
              <w:rPr>
                <w:rFonts w:ascii="Swis721 Lt BT" w:eastAsia="Times New Roman" w:hAnsi="Swis721 Lt BT" w:cs="Times New Roman"/>
                <w:sz w:val="24"/>
                <w:szCs w:val="24"/>
                <w:lang w:eastAsia="es-ES"/>
              </w:rPr>
            </w:pPr>
            <w:r w:rsidRPr="00FF47E7">
              <w:rPr>
                <w:rFonts w:ascii="Swis721 Lt BT" w:eastAsia="Times New Roman" w:hAnsi="Swis721 Lt BT" w:cs="Times New Roman"/>
                <w:sz w:val="24"/>
                <w:szCs w:val="24"/>
                <w:lang w:eastAsia="es-ES"/>
              </w:rPr>
              <w:t>2. Admisiones y registros</w:t>
            </w:r>
          </w:p>
          <w:p w:rsidR="00704578" w:rsidRDefault="00FF47E7" w:rsidP="00FF47E7">
            <w:pPr>
              <w:jc w:val="both"/>
              <w:rPr>
                <w:rFonts w:ascii="Swis721 Lt BT" w:eastAsia="Times New Roman" w:hAnsi="Swis721 Lt BT" w:cs="Times New Roman"/>
                <w:sz w:val="24"/>
                <w:szCs w:val="24"/>
                <w:lang w:eastAsia="es-ES"/>
              </w:rPr>
            </w:pPr>
            <w:r w:rsidRPr="00FF47E7">
              <w:rPr>
                <w:rFonts w:ascii="Swis721 Lt BT" w:eastAsia="Times New Roman" w:hAnsi="Swis721 Lt BT" w:cs="Times New Roman"/>
                <w:sz w:val="24"/>
                <w:szCs w:val="24"/>
                <w:lang w:eastAsia="es-ES"/>
              </w:rPr>
              <w:t>3.Docencia</w:t>
            </w:r>
          </w:p>
          <w:p w:rsidR="00FF47E7" w:rsidRPr="00156464" w:rsidRDefault="00FF47E7" w:rsidP="00FF47E7">
            <w:pPr>
              <w:jc w:val="both"/>
              <w:rPr>
                <w:rFonts w:ascii="Swis721 Lt BT" w:eastAsia="Times New Roman" w:hAnsi="Swis721 Lt BT" w:cs="Times New Roman"/>
                <w:sz w:val="24"/>
                <w:szCs w:val="24"/>
                <w:lang w:eastAsia="es-ES"/>
              </w:rPr>
            </w:pPr>
          </w:p>
          <w:p w:rsidR="0086129C" w:rsidRDefault="005A4A07" w:rsidP="009D17CF">
            <w:pPr>
              <w:jc w:val="both"/>
              <w:rPr>
                <w:rFonts w:ascii="Swis721 Lt BT" w:hAnsi="Swis721 Lt BT"/>
                <w:lang w:val="es-CO" w:eastAsia="es-ES"/>
              </w:rPr>
            </w:pPr>
            <w:r>
              <w:rPr>
                <w:rFonts w:ascii="Swis721 Lt BT" w:hAnsi="Swis721 Lt BT"/>
                <w:b/>
                <w:lang w:val="es-CO" w:eastAsia="es-ES"/>
              </w:rPr>
              <w:t xml:space="preserve">Socialización para </w:t>
            </w:r>
            <w:r w:rsidR="0086129C" w:rsidRPr="0086129C">
              <w:rPr>
                <w:rFonts w:ascii="Swis721 Lt BT" w:hAnsi="Swis721 Lt BT"/>
                <w:b/>
                <w:lang w:val="es-CO" w:eastAsia="es-ES"/>
              </w:rPr>
              <w:t>Implementa</w:t>
            </w:r>
            <w:r>
              <w:rPr>
                <w:rFonts w:ascii="Swis721 Lt BT" w:hAnsi="Swis721 Lt BT"/>
                <w:b/>
                <w:lang w:val="es-CO" w:eastAsia="es-ES"/>
              </w:rPr>
              <w:t>ción</w:t>
            </w:r>
            <w:r w:rsidR="0086129C" w:rsidRPr="0086129C">
              <w:rPr>
                <w:rFonts w:ascii="Swis721 Lt BT" w:hAnsi="Swis721 Lt BT"/>
                <w:b/>
                <w:lang w:val="es-CO" w:eastAsia="es-ES"/>
              </w:rPr>
              <w:t xml:space="preserve"> </w:t>
            </w:r>
            <w:r>
              <w:rPr>
                <w:rFonts w:ascii="Swis721 Lt BT" w:hAnsi="Swis721 Lt BT"/>
                <w:b/>
                <w:lang w:val="es-CO" w:eastAsia="es-ES"/>
              </w:rPr>
              <w:t>de</w:t>
            </w:r>
            <w:r w:rsidR="0086129C" w:rsidRPr="0086129C">
              <w:rPr>
                <w:rFonts w:ascii="Swis721 Lt BT" w:hAnsi="Swis721 Lt BT"/>
                <w:b/>
                <w:lang w:val="es-CO" w:eastAsia="es-ES"/>
              </w:rPr>
              <w:t xml:space="preserve"> la documentación y procedimientos estándar Académicos- administrativos en los procesos misionales (académicos</w:t>
            </w:r>
            <w:r w:rsidR="0086129C" w:rsidRPr="0086129C">
              <w:rPr>
                <w:rFonts w:ascii="Swis721 Lt BT" w:hAnsi="Swis721 Lt BT"/>
                <w:lang w:val="es-CO" w:eastAsia="es-ES"/>
              </w:rPr>
              <w:t>)</w:t>
            </w:r>
            <w:r w:rsidR="0086129C">
              <w:rPr>
                <w:rFonts w:ascii="Swis721 Lt BT" w:hAnsi="Swis721 Lt BT"/>
                <w:lang w:val="es-CO" w:eastAsia="es-ES"/>
              </w:rPr>
              <w:t xml:space="preserve">: </w:t>
            </w:r>
            <w:r w:rsidR="0086129C" w:rsidRPr="0086129C">
              <w:rPr>
                <w:rFonts w:ascii="Swis721 Lt BT" w:hAnsi="Swis721 Lt BT"/>
                <w:lang w:val="es-CO" w:eastAsia="es-ES"/>
              </w:rPr>
              <w:t xml:space="preserve">Se vienen implementando en los procesos toda la documentación estándar en unidades </w:t>
            </w:r>
            <w:r w:rsidRPr="0086129C">
              <w:rPr>
                <w:rFonts w:ascii="Swis721 Lt BT" w:hAnsi="Swis721 Lt BT"/>
                <w:lang w:val="es-CO" w:eastAsia="es-ES"/>
              </w:rPr>
              <w:t>académicas y</w:t>
            </w:r>
            <w:r w:rsidR="0086129C" w:rsidRPr="0086129C">
              <w:rPr>
                <w:rFonts w:ascii="Swis721 Lt BT" w:hAnsi="Swis721 Lt BT"/>
                <w:lang w:val="es-CO" w:eastAsia="es-ES"/>
              </w:rPr>
              <w:t xml:space="preserve"> administrativas.  Es importante aclarar que se incluyen todas las Facultades y los centros de investigación y en proyección social se tiene en cuenta las áreas de CEIDEUL, bolsa de empleo, egresados, </w:t>
            </w:r>
            <w:r w:rsidRPr="0086129C">
              <w:rPr>
                <w:rFonts w:ascii="Swis721 Lt BT" w:hAnsi="Swis721 Lt BT"/>
                <w:lang w:val="es-CO" w:eastAsia="es-ES"/>
              </w:rPr>
              <w:t>prácticas</w:t>
            </w:r>
            <w:r w:rsidR="0086129C" w:rsidRPr="0086129C">
              <w:rPr>
                <w:rFonts w:ascii="Swis721 Lt BT" w:hAnsi="Swis721 Lt BT"/>
                <w:lang w:val="es-CO" w:eastAsia="es-ES"/>
              </w:rPr>
              <w:t xml:space="preserve"> empresariales y emprendimiento.</w:t>
            </w:r>
          </w:p>
          <w:p w:rsidR="00BF4025" w:rsidRDefault="00BF4025" w:rsidP="009D17CF">
            <w:pPr>
              <w:jc w:val="both"/>
              <w:rPr>
                <w:rFonts w:ascii="Swis721 Lt BT" w:hAnsi="Swis721 Lt BT"/>
                <w:lang w:val="es-CO" w:eastAsia="es-ES"/>
              </w:rPr>
            </w:pPr>
          </w:p>
          <w:p w:rsidR="00BF4025" w:rsidRPr="00156464" w:rsidRDefault="00BF4025" w:rsidP="009D17CF">
            <w:pPr>
              <w:jc w:val="both"/>
              <w:rPr>
                <w:rFonts w:ascii="Swis721 Lt BT" w:hAnsi="Swis721 Lt BT"/>
                <w:lang w:val="es-CO" w:eastAsia="es-ES"/>
              </w:rPr>
            </w:pPr>
            <w:r w:rsidRPr="00BF4025">
              <w:rPr>
                <w:rFonts w:ascii="Swis721 Lt BT" w:hAnsi="Swis721 Lt BT"/>
                <w:lang w:val="es-CO" w:eastAsia="es-ES"/>
              </w:rPr>
              <w:t>Se viene implementando todos los procedimientos y formatos en los procesos misionales, los cuales fueron objeto de auditoría interna de calidad</w:t>
            </w:r>
          </w:p>
          <w:p w:rsidR="00E740F4" w:rsidRDefault="00E740F4" w:rsidP="009D17CF">
            <w:pPr>
              <w:jc w:val="both"/>
              <w:rPr>
                <w:rFonts w:ascii="Swis721 Lt BT" w:eastAsia="Times New Roman" w:hAnsi="Swis721 Lt BT" w:cs="Times New Roman"/>
                <w:sz w:val="24"/>
                <w:szCs w:val="24"/>
                <w:lang w:eastAsia="es-ES"/>
              </w:rPr>
            </w:pPr>
          </w:p>
          <w:p w:rsidR="0086129C" w:rsidRDefault="005A4A07" w:rsidP="009D17CF">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La documentación se tiene disponible</w:t>
            </w:r>
            <w:r w:rsidR="0086129C" w:rsidRPr="0086129C">
              <w:rPr>
                <w:rFonts w:ascii="Swis721 Lt BT" w:eastAsia="Times New Roman" w:hAnsi="Swis721 Lt BT" w:cs="Times New Roman"/>
                <w:sz w:val="24"/>
                <w:szCs w:val="24"/>
                <w:lang w:eastAsia="es-ES"/>
              </w:rPr>
              <w:t xml:space="preserve"> </w:t>
            </w:r>
            <w:r>
              <w:rPr>
                <w:rFonts w:ascii="Swis721 Lt BT" w:eastAsia="Times New Roman" w:hAnsi="Swis721 Lt BT" w:cs="Times New Roman"/>
                <w:sz w:val="24"/>
                <w:szCs w:val="24"/>
                <w:lang w:eastAsia="es-ES"/>
              </w:rPr>
              <w:t>en</w:t>
            </w:r>
            <w:r w:rsidR="0086129C" w:rsidRPr="0086129C">
              <w:rPr>
                <w:rFonts w:ascii="Swis721 Lt BT" w:eastAsia="Times New Roman" w:hAnsi="Swis721 Lt BT" w:cs="Times New Roman"/>
                <w:sz w:val="24"/>
                <w:szCs w:val="24"/>
                <w:lang w:eastAsia="es-ES"/>
              </w:rPr>
              <w:t xml:space="preserve"> la intranet nacional y punto de consulta Seccional</w:t>
            </w:r>
          </w:p>
          <w:p w:rsidR="00C65D2E" w:rsidRPr="0086129C" w:rsidRDefault="00C65D2E" w:rsidP="009D17CF">
            <w:pPr>
              <w:jc w:val="both"/>
              <w:rPr>
                <w:rFonts w:ascii="Swis721 Lt BT" w:eastAsia="Times New Roman" w:hAnsi="Swis721 Lt BT" w:cs="Times New Roman"/>
                <w:b/>
                <w:sz w:val="24"/>
                <w:szCs w:val="24"/>
                <w:lang w:eastAsia="es-ES"/>
              </w:rPr>
            </w:pPr>
          </w:p>
          <w:p w:rsidR="001B7CD9" w:rsidRPr="001B7CD9" w:rsidRDefault="0086129C" w:rsidP="001B7CD9">
            <w:pPr>
              <w:jc w:val="both"/>
              <w:rPr>
                <w:rFonts w:ascii="Swis721 Lt BT" w:hAnsi="Swis721 Lt BT"/>
                <w:lang w:val="es-CO" w:eastAsia="es-ES"/>
              </w:rPr>
            </w:pPr>
            <w:r w:rsidRPr="0086129C">
              <w:rPr>
                <w:rFonts w:ascii="Swis721 Lt BT" w:eastAsia="Times New Roman" w:hAnsi="Swis721 Lt BT" w:cs="Times New Roman"/>
                <w:b/>
                <w:sz w:val="24"/>
                <w:szCs w:val="24"/>
                <w:lang w:eastAsia="es-ES"/>
              </w:rPr>
              <w:t>Revisión Gerencial</w:t>
            </w:r>
            <w:r>
              <w:rPr>
                <w:rFonts w:ascii="Swis721 Lt BT" w:eastAsia="Times New Roman" w:hAnsi="Swis721 Lt BT" w:cs="Times New Roman"/>
                <w:sz w:val="24"/>
                <w:szCs w:val="24"/>
                <w:lang w:eastAsia="es-ES"/>
              </w:rPr>
              <w:t xml:space="preserve">: </w:t>
            </w:r>
            <w:r w:rsidR="001B7CD9" w:rsidRPr="001B7CD9">
              <w:rPr>
                <w:rFonts w:ascii="Swis721 Lt BT" w:hAnsi="Swis721 Lt BT"/>
                <w:lang w:val="es-CO" w:eastAsia="es-ES"/>
              </w:rPr>
              <w:t xml:space="preserve">Se llevó a cabo la revisión por la </w:t>
            </w:r>
            <w:r w:rsidR="008F513A" w:rsidRPr="001B7CD9">
              <w:rPr>
                <w:rFonts w:ascii="Swis721 Lt BT" w:hAnsi="Swis721 Lt BT"/>
                <w:lang w:val="es-CO" w:eastAsia="es-ES"/>
              </w:rPr>
              <w:t>Dirección el</w:t>
            </w:r>
            <w:r w:rsidR="001B7CD9" w:rsidRPr="001B7CD9">
              <w:rPr>
                <w:rFonts w:ascii="Swis721 Lt BT" w:hAnsi="Swis721 Lt BT"/>
                <w:lang w:val="es-CO" w:eastAsia="es-ES"/>
              </w:rPr>
              <w:t xml:space="preserve"> pasado 10 abril de 2018 donde se analizaron los períodos 2017- y 2 y cada líder </w:t>
            </w:r>
            <w:r w:rsidR="00D403B8" w:rsidRPr="001B7CD9">
              <w:rPr>
                <w:rFonts w:ascii="Swis721 Lt BT" w:hAnsi="Swis721 Lt BT"/>
                <w:lang w:val="es-CO" w:eastAsia="es-ES"/>
              </w:rPr>
              <w:t>rindió</w:t>
            </w:r>
            <w:r w:rsidR="001B7CD9" w:rsidRPr="001B7CD9">
              <w:rPr>
                <w:rFonts w:ascii="Swis721 Lt BT" w:hAnsi="Swis721 Lt BT"/>
                <w:lang w:val="es-CO" w:eastAsia="es-ES"/>
              </w:rPr>
              <w:t xml:space="preserve"> cuentas de su proceso, basados en la norma ISO9001:2015.  Está pendiente terminar el informe, teniendo en cuenta la siguiente información de entrada:</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Estado de las acciones de las revisiones por la dirección previas</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 Oportunidades y acciones de mejora para el período (2018)</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 Cumplimiento del objetivo 1 de calidad (encuestas, Calificación del servicio y quejas)</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lastRenderedPageBreak/>
              <w:t>* Cumplimiento del objetivo 2 de calidad (Indicadores de acuerdos de servicio)</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 Cumplimiento del objetivo 3 de calidad (encuestas, Calificación del servicio y quejas)</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 Desempeño de los procesos y conformidad del servicio (indicadores de proceso y    Producto y/o servicio no conforme identificado)</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 Resultados de auditorías internas y externas</w:t>
            </w:r>
          </w:p>
          <w:p w:rsidR="001B7CD9" w:rsidRPr="001B7CD9" w:rsidRDefault="001B7CD9" w:rsidP="001B7CD9">
            <w:pPr>
              <w:jc w:val="both"/>
              <w:rPr>
                <w:rFonts w:ascii="Swis721 Lt BT" w:hAnsi="Swis721 Lt BT"/>
                <w:lang w:val="es-CO" w:eastAsia="es-ES"/>
              </w:rPr>
            </w:pPr>
            <w:r w:rsidRPr="001B7CD9">
              <w:rPr>
                <w:rFonts w:ascii="Swis721 Lt BT" w:hAnsi="Swis721 Lt BT"/>
                <w:lang w:val="es-CO" w:eastAsia="es-ES"/>
              </w:rPr>
              <w:t>* Estado de las no conformidades y de las acciones correctivas</w:t>
            </w:r>
          </w:p>
          <w:p w:rsidR="00F07EDE" w:rsidRPr="00C65D2E" w:rsidRDefault="001B7CD9" w:rsidP="001B7CD9">
            <w:pPr>
              <w:jc w:val="both"/>
              <w:rPr>
                <w:rFonts w:ascii="Swis721 Lt BT" w:hAnsi="Swis721 Lt BT"/>
                <w:lang w:val="es-CO" w:eastAsia="es-ES"/>
              </w:rPr>
            </w:pPr>
            <w:r w:rsidRPr="001B7CD9">
              <w:rPr>
                <w:rFonts w:ascii="Swis721 Lt BT" w:hAnsi="Swis721 Lt BT"/>
                <w:lang w:val="es-CO" w:eastAsia="es-ES"/>
              </w:rPr>
              <w:t>* Eficacia de las acciones tomadas para abordar los riesgos y las oportunidades (Gestión del riesgo)</w:t>
            </w:r>
          </w:p>
          <w:p w:rsidR="00F07EDE" w:rsidRDefault="00F07EDE" w:rsidP="009D17CF">
            <w:pPr>
              <w:jc w:val="both"/>
              <w:rPr>
                <w:rFonts w:ascii="Swis721 Lt BT" w:eastAsia="Times New Roman" w:hAnsi="Swis721 Lt BT" w:cs="Times New Roman"/>
                <w:sz w:val="24"/>
                <w:szCs w:val="24"/>
                <w:lang w:eastAsia="es-ES"/>
              </w:rPr>
            </w:pPr>
          </w:p>
          <w:p w:rsidR="00D403B8" w:rsidRPr="00D403B8" w:rsidRDefault="00F07EDE" w:rsidP="00D403B8">
            <w:pPr>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Gestión del riesgo</w:t>
            </w:r>
            <w:r w:rsidR="0086129C">
              <w:rPr>
                <w:rFonts w:ascii="Swis721 Lt BT" w:eastAsia="Times New Roman" w:hAnsi="Swis721 Lt BT" w:cs="Times New Roman"/>
                <w:sz w:val="24"/>
                <w:szCs w:val="24"/>
                <w:lang w:eastAsia="es-ES"/>
              </w:rPr>
              <w:t xml:space="preserve">: </w:t>
            </w:r>
            <w:r w:rsidR="00D403B8">
              <w:rPr>
                <w:rFonts w:ascii="Swis721 Lt BT" w:eastAsia="Times New Roman" w:hAnsi="Swis721 Lt BT" w:cs="Times New Roman"/>
                <w:sz w:val="24"/>
                <w:szCs w:val="24"/>
                <w:lang w:eastAsia="es-ES"/>
              </w:rPr>
              <w:t>En la Seccional s</w:t>
            </w:r>
            <w:r w:rsidR="00D403B8" w:rsidRPr="00D403B8">
              <w:rPr>
                <w:rFonts w:ascii="Swis721 Lt BT" w:eastAsia="Times New Roman" w:hAnsi="Swis721 Lt BT" w:cs="Times New Roman"/>
                <w:sz w:val="24"/>
                <w:szCs w:val="24"/>
                <w:lang w:eastAsia="es-ES"/>
              </w:rPr>
              <w:t>e identificaron 30 riesgos y 67 oportunidades de mejora, así:</w:t>
            </w:r>
          </w:p>
          <w:p w:rsidR="00D403B8" w:rsidRPr="00D403B8" w:rsidRDefault="00D403B8" w:rsidP="00D403B8">
            <w:pPr>
              <w:jc w:val="both"/>
              <w:rPr>
                <w:rFonts w:ascii="Swis721 Lt BT" w:eastAsia="Times New Roman" w:hAnsi="Swis721 Lt BT" w:cs="Times New Roman"/>
                <w:sz w:val="24"/>
                <w:szCs w:val="24"/>
                <w:lang w:eastAsia="es-ES"/>
              </w:rPr>
            </w:pPr>
            <w:r w:rsidRPr="00D403B8">
              <w:rPr>
                <w:rFonts w:ascii="Swis721 Lt BT" w:eastAsia="Times New Roman" w:hAnsi="Swis721 Lt BT" w:cs="Times New Roman"/>
                <w:sz w:val="24"/>
                <w:szCs w:val="24"/>
                <w:lang w:eastAsia="es-ES"/>
              </w:rPr>
              <w:t>Operativo: 16</w:t>
            </w:r>
          </w:p>
          <w:p w:rsidR="00D403B8" w:rsidRPr="00D403B8" w:rsidRDefault="00D403B8" w:rsidP="00D403B8">
            <w:pPr>
              <w:jc w:val="both"/>
              <w:rPr>
                <w:rFonts w:ascii="Swis721 Lt BT" w:eastAsia="Times New Roman" w:hAnsi="Swis721 Lt BT" w:cs="Times New Roman"/>
                <w:sz w:val="24"/>
                <w:szCs w:val="24"/>
                <w:lang w:eastAsia="es-ES"/>
              </w:rPr>
            </w:pPr>
            <w:r w:rsidRPr="00D403B8">
              <w:rPr>
                <w:rFonts w:ascii="Swis721 Lt BT" w:eastAsia="Times New Roman" w:hAnsi="Swis721 Lt BT" w:cs="Times New Roman"/>
                <w:sz w:val="24"/>
                <w:szCs w:val="24"/>
                <w:lang w:eastAsia="es-ES"/>
              </w:rPr>
              <w:t>Cumplimiento: 4</w:t>
            </w:r>
          </w:p>
          <w:p w:rsidR="00D403B8" w:rsidRPr="00D403B8" w:rsidRDefault="00D403B8" w:rsidP="00D403B8">
            <w:pPr>
              <w:jc w:val="both"/>
              <w:rPr>
                <w:rFonts w:ascii="Swis721 Lt BT" w:eastAsia="Times New Roman" w:hAnsi="Swis721 Lt BT" w:cs="Times New Roman"/>
                <w:sz w:val="24"/>
                <w:szCs w:val="24"/>
                <w:lang w:eastAsia="es-ES"/>
              </w:rPr>
            </w:pPr>
            <w:r w:rsidRPr="00D403B8">
              <w:rPr>
                <w:rFonts w:ascii="Swis721 Lt BT" w:eastAsia="Times New Roman" w:hAnsi="Swis721 Lt BT" w:cs="Times New Roman"/>
                <w:sz w:val="24"/>
                <w:szCs w:val="24"/>
                <w:lang w:eastAsia="es-ES"/>
              </w:rPr>
              <w:t>Tecnológico: 2</w:t>
            </w:r>
          </w:p>
          <w:p w:rsidR="00D403B8" w:rsidRPr="00D403B8" w:rsidRDefault="00D403B8" w:rsidP="00D403B8">
            <w:pPr>
              <w:jc w:val="both"/>
              <w:rPr>
                <w:rFonts w:ascii="Swis721 Lt BT" w:eastAsia="Times New Roman" w:hAnsi="Swis721 Lt BT" w:cs="Times New Roman"/>
                <w:sz w:val="24"/>
                <w:szCs w:val="24"/>
                <w:lang w:eastAsia="es-ES"/>
              </w:rPr>
            </w:pPr>
            <w:r w:rsidRPr="00D403B8">
              <w:rPr>
                <w:rFonts w:ascii="Swis721 Lt BT" w:eastAsia="Times New Roman" w:hAnsi="Swis721 Lt BT" w:cs="Times New Roman"/>
                <w:sz w:val="24"/>
                <w:szCs w:val="24"/>
                <w:lang w:eastAsia="es-ES"/>
              </w:rPr>
              <w:t>Estratégico: 6</w:t>
            </w:r>
          </w:p>
          <w:p w:rsidR="00D403B8" w:rsidRPr="00D403B8" w:rsidRDefault="00D403B8" w:rsidP="00D403B8">
            <w:pPr>
              <w:jc w:val="both"/>
              <w:rPr>
                <w:rFonts w:ascii="Swis721 Lt BT" w:eastAsia="Times New Roman" w:hAnsi="Swis721 Lt BT" w:cs="Times New Roman"/>
                <w:sz w:val="24"/>
                <w:szCs w:val="24"/>
                <w:lang w:eastAsia="es-ES"/>
              </w:rPr>
            </w:pPr>
            <w:proofErr w:type="spellStart"/>
            <w:r w:rsidRPr="00D403B8">
              <w:rPr>
                <w:rFonts w:ascii="Swis721 Lt BT" w:eastAsia="Times New Roman" w:hAnsi="Swis721 Lt BT" w:cs="Times New Roman"/>
                <w:sz w:val="24"/>
                <w:szCs w:val="24"/>
                <w:lang w:eastAsia="es-ES"/>
              </w:rPr>
              <w:t>Reputacional</w:t>
            </w:r>
            <w:proofErr w:type="spellEnd"/>
            <w:r w:rsidRPr="00D403B8">
              <w:rPr>
                <w:rFonts w:ascii="Swis721 Lt BT" w:eastAsia="Times New Roman" w:hAnsi="Swis721 Lt BT" w:cs="Times New Roman"/>
                <w:sz w:val="24"/>
                <w:szCs w:val="24"/>
                <w:lang w:eastAsia="es-ES"/>
              </w:rPr>
              <w:t>: 1</w:t>
            </w:r>
          </w:p>
          <w:p w:rsidR="0086129C" w:rsidRDefault="00D403B8" w:rsidP="00D403B8">
            <w:pPr>
              <w:jc w:val="both"/>
              <w:rPr>
                <w:rFonts w:ascii="Swis721 Lt BT" w:eastAsia="Times New Roman" w:hAnsi="Swis721 Lt BT" w:cs="Times New Roman"/>
                <w:sz w:val="24"/>
                <w:szCs w:val="24"/>
                <w:lang w:eastAsia="es-ES"/>
              </w:rPr>
            </w:pPr>
            <w:r w:rsidRPr="00D403B8">
              <w:rPr>
                <w:rFonts w:ascii="Swis721 Lt BT" w:eastAsia="Times New Roman" w:hAnsi="Swis721 Lt BT" w:cs="Times New Roman"/>
                <w:sz w:val="24"/>
                <w:szCs w:val="24"/>
                <w:lang w:eastAsia="es-ES"/>
              </w:rPr>
              <w:t>Legal: 1</w:t>
            </w:r>
          </w:p>
          <w:p w:rsidR="0086129C" w:rsidRDefault="0086129C" w:rsidP="009D17CF">
            <w:pPr>
              <w:jc w:val="both"/>
              <w:rPr>
                <w:rFonts w:ascii="Swis721 Lt BT" w:eastAsia="Times New Roman" w:hAnsi="Swis721 Lt BT" w:cs="Times New Roman"/>
                <w:sz w:val="24"/>
                <w:szCs w:val="24"/>
                <w:lang w:eastAsia="es-ES"/>
              </w:rPr>
            </w:pPr>
          </w:p>
          <w:p w:rsidR="00E43374" w:rsidRPr="0004521A" w:rsidRDefault="00E43374" w:rsidP="009D17CF">
            <w:pPr>
              <w:jc w:val="both"/>
              <w:rPr>
                <w:rFonts w:cstheme="minorHAnsi"/>
                <w:b/>
                <w:bCs/>
                <w:color w:val="FF0000"/>
                <w:lang w:val="es-CO"/>
              </w:rPr>
            </w:pPr>
            <w:r w:rsidRPr="0004521A">
              <w:rPr>
                <w:rFonts w:cstheme="minorHAnsi"/>
                <w:b/>
                <w:bCs/>
                <w:color w:val="FF0000"/>
                <w:lang w:val="es-CO"/>
              </w:rPr>
              <w:t>PROYECTO PIDI 22: LA UNIVERSIDAD ORIENTADA AL SERVICIO DE LA COMUNIDAD UNILIBRISTA</w:t>
            </w:r>
          </w:p>
          <w:p w:rsidR="00E43374" w:rsidRPr="00156464" w:rsidRDefault="00E43374" w:rsidP="009D17CF">
            <w:pPr>
              <w:jc w:val="both"/>
              <w:rPr>
                <w:rFonts w:cstheme="minorHAnsi"/>
                <w:b/>
                <w:bCs/>
              </w:rPr>
            </w:pPr>
          </w:p>
          <w:p w:rsidR="00E43374" w:rsidRDefault="00C6111E" w:rsidP="009D17CF">
            <w:pPr>
              <w:jc w:val="both"/>
              <w:rPr>
                <w:rFonts w:cstheme="minorHAnsi"/>
                <w:bCs/>
              </w:rPr>
            </w:pPr>
            <w:r>
              <w:rPr>
                <w:rFonts w:cstheme="minorHAnsi"/>
                <w:b/>
                <w:bCs/>
                <w:sz w:val="24"/>
              </w:rPr>
              <w:t>E</w:t>
            </w:r>
            <w:r w:rsidR="00E43374" w:rsidRPr="0022774F">
              <w:rPr>
                <w:rFonts w:cstheme="minorHAnsi"/>
                <w:b/>
                <w:bCs/>
                <w:sz w:val="24"/>
              </w:rPr>
              <w:t>ncuesta de satisfacción</w:t>
            </w:r>
            <w:r w:rsidR="00307BD2" w:rsidRPr="0022774F">
              <w:rPr>
                <w:rFonts w:cstheme="minorHAnsi"/>
                <w:b/>
                <w:bCs/>
                <w:sz w:val="24"/>
              </w:rPr>
              <w:t xml:space="preserve"> unificada con aseguramiento de la calidad y SGC</w:t>
            </w:r>
            <w:r w:rsidR="009A2E9A" w:rsidRPr="0022774F">
              <w:rPr>
                <w:rFonts w:cstheme="minorHAnsi"/>
                <w:b/>
                <w:bCs/>
                <w:sz w:val="24"/>
              </w:rPr>
              <w:t>:</w:t>
            </w:r>
            <w:r w:rsidR="009A2E9A" w:rsidRPr="00156464">
              <w:rPr>
                <w:rFonts w:cstheme="minorHAnsi"/>
                <w:b/>
                <w:bCs/>
              </w:rPr>
              <w:t xml:space="preserve"> </w:t>
            </w:r>
            <w:r>
              <w:rPr>
                <w:rFonts w:cstheme="minorHAnsi"/>
                <w:bCs/>
              </w:rPr>
              <w:t xml:space="preserve">Se trabajó  </w:t>
            </w:r>
          </w:p>
          <w:p w:rsidR="00C6111E" w:rsidRDefault="00362070" w:rsidP="009D17CF">
            <w:pPr>
              <w:jc w:val="both"/>
              <w:rPr>
                <w:rFonts w:cstheme="minorHAnsi"/>
                <w:bCs/>
              </w:rPr>
            </w:pPr>
            <w:r w:rsidRPr="00362070">
              <w:rPr>
                <w:rFonts w:cstheme="minorHAnsi"/>
                <w:bCs/>
              </w:rPr>
              <w:t xml:space="preserve">En octubre de 2017, se aplicó la encuesta a nivel nacional alineada con aseguramiento de la calidad y acreditación, la cual se aplicó </w:t>
            </w:r>
            <w:r w:rsidR="0073069A" w:rsidRPr="00362070">
              <w:rPr>
                <w:rFonts w:cstheme="minorHAnsi"/>
                <w:bCs/>
              </w:rPr>
              <w:t>a Egresados</w:t>
            </w:r>
            <w:r w:rsidRPr="00362070">
              <w:rPr>
                <w:rFonts w:cstheme="minorHAnsi"/>
                <w:bCs/>
              </w:rPr>
              <w:t xml:space="preserve">, Sector externo, Estudiantes, Docentes y </w:t>
            </w:r>
            <w:r w:rsidR="0073069A" w:rsidRPr="00362070">
              <w:rPr>
                <w:rFonts w:cstheme="minorHAnsi"/>
                <w:bCs/>
              </w:rPr>
              <w:t>Administrativos, con</w:t>
            </w:r>
            <w:r w:rsidRPr="00362070">
              <w:rPr>
                <w:rFonts w:cstheme="minorHAnsi"/>
                <w:bCs/>
              </w:rPr>
              <w:t xml:space="preserve"> una muestra de 2.513 encuestados. En la seccional no se cumplió la meta del 80</w:t>
            </w:r>
            <w:r w:rsidR="0073069A" w:rsidRPr="00362070">
              <w:rPr>
                <w:rFonts w:cstheme="minorHAnsi"/>
                <w:bCs/>
              </w:rPr>
              <w:t>%, obteniéndose</w:t>
            </w:r>
            <w:r w:rsidRPr="00362070">
              <w:rPr>
                <w:rFonts w:cstheme="minorHAnsi"/>
                <w:bCs/>
              </w:rPr>
              <w:t xml:space="preserve"> un resultado de 3,76 (calificación de 1 a 5) equivalente </w:t>
            </w:r>
            <w:r w:rsidR="0073069A" w:rsidRPr="00362070">
              <w:rPr>
                <w:rFonts w:cstheme="minorHAnsi"/>
                <w:bCs/>
              </w:rPr>
              <w:t>al 75</w:t>
            </w:r>
            <w:r w:rsidRPr="00362070">
              <w:rPr>
                <w:rFonts w:cstheme="minorHAnsi"/>
                <w:bCs/>
              </w:rPr>
              <w:t xml:space="preserve">,23% de satisfacción de la comunidad frente a la calidad de los servicios prestados en cada uno de los </w:t>
            </w:r>
            <w:r w:rsidR="0073069A" w:rsidRPr="00362070">
              <w:rPr>
                <w:rFonts w:cstheme="minorHAnsi"/>
                <w:bCs/>
              </w:rPr>
              <w:t>procesos, razón</w:t>
            </w:r>
            <w:r w:rsidRPr="00362070">
              <w:rPr>
                <w:rFonts w:cstheme="minorHAnsi"/>
                <w:bCs/>
              </w:rPr>
              <w:t xml:space="preserve"> por la cual se trabajó con cada proceso en análisis de causas y acciones </w:t>
            </w:r>
            <w:r w:rsidR="0073069A" w:rsidRPr="00362070">
              <w:rPr>
                <w:rFonts w:cstheme="minorHAnsi"/>
                <w:bCs/>
              </w:rPr>
              <w:t>correctivas, es</w:t>
            </w:r>
            <w:r w:rsidRPr="00362070">
              <w:rPr>
                <w:rFonts w:cstheme="minorHAnsi"/>
                <w:bCs/>
              </w:rPr>
              <w:t xml:space="preserve"> importante resaltar que solo los procesos de Gestión Humana y Admisiones y registros cumplieron el 80%.del estándar nacional.</w:t>
            </w:r>
          </w:p>
          <w:p w:rsidR="00C628EC" w:rsidRDefault="00C628EC" w:rsidP="009D17CF">
            <w:pPr>
              <w:jc w:val="both"/>
              <w:rPr>
                <w:rFonts w:cstheme="minorHAnsi"/>
                <w:bCs/>
              </w:rPr>
            </w:pPr>
          </w:p>
          <w:p w:rsidR="00C628EC" w:rsidRDefault="00C628EC" w:rsidP="009D17CF">
            <w:pPr>
              <w:jc w:val="both"/>
              <w:rPr>
                <w:rFonts w:cstheme="minorHAnsi"/>
                <w:bCs/>
              </w:rPr>
            </w:pPr>
            <w:r w:rsidRPr="00C628EC">
              <w:rPr>
                <w:rFonts w:cstheme="minorHAnsi"/>
                <w:bCs/>
              </w:rPr>
              <w:t>Se hará seguimiento en el segundo ciclo de auditoria para evaluar la eficacia de la implementación</w:t>
            </w:r>
          </w:p>
          <w:p w:rsidR="00C6111E" w:rsidRPr="00156464" w:rsidRDefault="00C6111E" w:rsidP="009D17CF">
            <w:pPr>
              <w:jc w:val="both"/>
              <w:rPr>
                <w:rFonts w:cstheme="minorHAnsi"/>
                <w:bCs/>
                <w:lang w:val="es-CO"/>
              </w:rPr>
            </w:pPr>
          </w:p>
          <w:p w:rsidR="00B66434" w:rsidRDefault="00B66434" w:rsidP="009D17CF">
            <w:pPr>
              <w:jc w:val="both"/>
              <w:rPr>
                <w:rFonts w:cstheme="minorHAnsi"/>
                <w:bCs/>
                <w:sz w:val="24"/>
              </w:rPr>
            </w:pPr>
            <w:r>
              <w:rPr>
                <w:rFonts w:cstheme="minorHAnsi"/>
                <w:b/>
                <w:bCs/>
                <w:sz w:val="24"/>
              </w:rPr>
              <w:t>Seguimiento a PQRS</w:t>
            </w:r>
            <w:r w:rsidR="00E740F4" w:rsidRPr="00E740F4">
              <w:rPr>
                <w:rFonts w:cstheme="minorHAnsi"/>
                <w:bCs/>
                <w:sz w:val="24"/>
              </w:rPr>
              <w:t xml:space="preserve">: </w:t>
            </w:r>
            <w:r w:rsidR="00EA1D82" w:rsidRPr="00EA1D82">
              <w:rPr>
                <w:rFonts w:cstheme="minorHAnsi"/>
                <w:bCs/>
                <w:sz w:val="24"/>
              </w:rPr>
              <w:t xml:space="preserve">En el primer semestre </w:t>
            </w:r>
            <w:r w:rsidR="008F513A" w:rsidRPr="00EA1D82">
              <w:rPr>
                <w:rFonts w:cstheme="minorHAnsi"/>
                <w:bCs/>
                <w:sz w:val="24"/>
              </w:rPr>
              <w:t>de 2018</w:t>
            </w:r>
            <w:r w:rsidR="00EA1D82" w:rsidRPr="00EA1D82">
              <w:rPr>
                <w:rFonts w:cstheme="minorHAnsi"/>
                <w:bCs/>
                <w:sz w:val="24"/>
              </w:rPr>
              <w:t xml:space="preserve"> se presentaron 18 PQR en los procesos de Docencia, Bienestar Universitario, Biblioteca, sistemas, Registro y control, y solicitudes en los procesos de Gestión financiera y Gestión Humana, las cuales se </w:t>
            </w:r>
            <w:r w:rsidR="00EA1D82" w:rsidRPr="00EA1D82">
              <w:rPr>
                <w:rFonts w:cstheme="minorHAnsi"/>
                <w:bCs/>
                <w:sz w:val="24"/>
              </w:rPr>
              <w:lastRenderedPageBreak/>
              <w:t>han respondido por parte de los titulares de proceso en forma oportuna, y se han tomado las acciones correctivas del caso</w:t>
            </w:r>
            <w:r w:rsidR="00AE262C">
              <w:rPr>
                <w:rFonts w:cstheme="minorHAnsi"/>
                <w:bCs/>
                <w:sz w:val="24"/>
              </w:rPr>
              <w:t>.</w:t>
            </w:r>
          </w:p>
          <w:p w:rsidR="00AE262C" w:rsidRDefault="00AE262C" w:rsidP="009D17CF">
            <w:pPr>
              <w:jc w:val="both"/>
              <w:rPr>
                <w:rFonts w:cstheme="minorHAnsi"/>
                <w:bCs/>
                <w:sz w:val="24"/>
              </w:rPr>
            </w:pPr>
          </w:p>
          <w:p w:rsidR="00E740F4" w:rsidRPr="00156464" w:rsidRDefault="00B66434" w:rsidP="009D17CF">
            <w:pPr>
              <w:jc w:val="both"/>
              <w:rPr>
                <w:rFonts w:cstheme="minorHAnsi"/>
                <w:bCs/>
                <w:lang w:val="es-CO"/>
              </w:rPr>
            </w:pPr>
            <w:r>
              <w:rPr>
                <w:rFonts w:cstheme="minorHAnsi"/>
                <w:b/>
                <w:bCs/>
                <w:sz w:val="24"/>
              </w:rPr>
              <w:t>Seguimiento a C</w:t>
            </w:r>
            <w:r w:rsidRPr="00E740F4">
              <w:rPr>
                <w:rFonts w:cstheme="minorHAnsi"/>
                <w:b/>
                <w:bCs/>
                <w:sz w:val="24"/>
              </w:rPr>
              <w:t>alificaciones del servicio</w:t>
            </w:r>
            <w:r>
              <w:rPr>
                <w:rFonts w:cstheme="minorHAnsi"/>
                <w:b/>
                <w:bCs/>
                <w:sz w:val="24"/>
              </w:rPr>
              <w:t xml:space="preserve">: </w:t>
            </w:r>
            <w:r w:rsidR="00AE262C" w:rsidRPr="00AE262C">
              <w:rPr>
                <w:rFonts w:cstheme="minorHAnsi"/>
                <w:bCs/>
                <w:sz w:val="24"/>
              </w:rPr>
              <w:t xml:space="preserve">Durante el primer semestre de este año se ha tenido 286 calificaciones del servicio con un porcentaje de satisfacción del 98% en los procesos de: Biblioteca, Bienestar Universitario, Adquisiciones y suministros, Gestión documental. </w:t>
            </w:r>
          </w:p>
          <w:p w:rsidR="00DD493A" w:rsidRPr="00156464" w:rsidRDefault="00DD493A" w:rsidP="009D17CF">
            <w:pPr>
              <w:tabs>
                <w:tab w:val="num" w:pos="720"/>
              </w:tabs>
              <w:jc w:val="both"/>
              <w:rPr>
                <w:rFonts w:cstheme="minorHAnsi"/>
                <w:bCs/>
              </w:rPr>
            </w:pPr>
          </w:p>
          <w:p w:rsidR="00C6111E" w:rsidRPr="00C6111E" w:rsidRDefault="00E43374" w:rsidP="009D17CF">
            <w:pPr>
              <w:tabs>
                <w:tab w:val="num" w:pos="720"/>
              </w:tabs>
              <w:jc w:val="both"/>
              <w:rPr>
                <w:rFonts w:cstheme="minorHAnsi"/>
                <w:bCs/>
                <w:lang w:val="es-CO"/>
              </w:rPr>
            </w:pPr>
            <w:r w:rsidRPr="00156464">
              <w:rPr>
                <w:rFonts w:cstheme="minorHAnsi"/>
                <w:b/>
                <w:bCs/>
                <w:lang w:val="es-CO"/>
              </w:rPr>
              <w:t xml:space="preserve">Planes de Mejoramiento: </w:t>
            </w:r>
            <w:r w:rsidR="00C6111E" w:rsidRPr="00C6111E">
              <w:rPr>
                <w:rFonts w:cstheme="minorHAnsi"/>
                <w:bCs/>
                <w:lang w:val="es-CO"/>
              </w:rPr>
              <w:t>Para el año 2018 en la Seccional,  se identificaron y formularon 86 oportunidades de mejora para ser desarrolladas o implementadas durante la vigencia, es importante aclarar que en el proceso de docencia participaron los Decanos de las 4 facultades y el Asesor de posgrados, en el proceso de Investigación intervinieron los Directores de los 4 centros de investigación y el Director Seccional de investigaciones y en el proceso de proyección social el Rector Seccional, la Coordinadora de CEIDEUL, Directora de Consultorio jurídico, Directora de Bolsa de empleo y egresados y Coordinador de emprendimiento.</w:t>
            </w:r>
          </w:p>
          <w:p w:rsidR="00C6111E" w:rsidRPr="00C6111E" w:rsidRDefault="00C6111E" w:rsidP="009D17CF">
            <w:pPr>
              <w:tabs>
                <w:tab w:val="num" w:pos="720"/>
              </w:tabs>
              <w:jc w:val="both"/>
              <w:rPr>
                <w:rFonts w:cstheme="minorHAnsi"/>
                <w:bCs/>
                <w:lang w:val="es-CO"/>
              </w:rPr>
            </w:pPr>
          </w:p>
          <w:p w:rsidR="00E43374" w:rsidRDefault="00C6111E" w:rsidP="009D17CF">
            <w:pPr>
              <w:jc w:val="both"/>
              <w:rPr>
                <w:rFonts w:cstheme="minorHAnsi"/>
                <w:bCs/>
                <w:lang w:val="es-CO"/>
              </w:rPr>
            </w:pPr>
            <w:r w:rsidRPr="00C6111E">
              <w:rPr>
                <w:rFonts w:cstheme="minorHAnsi"/>
                <w:bCs/>
                <w:lang w:val="es-CO"/>
              </w:rPr>
              <w:t xml:space="preserve">Se hará seguimiento a la eficacia en la implementación de </w:t>
            </w:r>
            <w:r w:rsidR="00A856E9" w:rsidRPr="00C6111E">
              <w:rPr>
                <w:rFonts w:cstheme="minorHAnsi"/>
                <w:bCs/>
                <w:lang w:val="es-CO"/>
              </w:rPr>
              <w:t>esta acción</w:t>
            </w:r>
            <w:r w:rsidRPr="00C6111E">
              <w:rPr>
                <w:rFonts w:cstheme="minorHAnsi"/>
                <w:bCs/>
                <w:lang w:val="es-CO"/>
              </w:rPr>
              <w:t xml:space="preserve"> durante el segundo ciclo de auditorías internas</w:t>
            </w:r>
          </w:p>
          <w:p w:rsidR="00362070" w:rsidRPr="00156464" w:rsidRDefault="00362070" w:rsidP="009D17CF">
            <w:pPr>
              <w:jc w:val="both"/>
              <w:rPr>
                <w:rFonts w:cstheme="minorHAnsi"/>
                <w:b/>
                <w:bCs/>
              </w:rPr>
            </w:pPr>
          </w:p>
          <w:p w:rsidR="00E43374" w:rsidRPr="00156464" w:rsidRDefault="00E43374" w:rsidP="009D17CF">
            <w:pPr>
              <w:jc w:val="both"/>
              <w:rPr>
                <w:rFonts w:cstheme="minorHAnsi"/>
                <w:b/>
                <w:bCs/>
              </w:rPr>
            </w:pPr>
            <w:r w:rsidRPr="00156464">
              <w:rPr>
                <w:rFonts w:ascii="Calibri" w:hAnsi="Calibri" w:cs="Calibri"/>
                <w:b/>
              </w:rPr>
              <w:t>Seguimiento al Plan Anual de Trabajo (PAT): Se</w:t>
            </w:r>
            <w:r w:rsidR="00C46204" w:rsidRPr="00156464">
              <w:rPr>
                <w:rFonts w:ascii="Calibri" w:hAnsi="Calibri" w:cs="Calibri"/>
                <w:b/>
              </w:rPr>
              <w:t xml:space="preserve"> </w:t>
            </w:r>
            <w:r w:rsidRPr="00156464">
              <w:rPr>
                <w:rFonts w:ascii="Calibri" w:hAnsi="Calibri" w:cs="Calibri"/>
              </w:rPr>
              <w:t xml:space="preserve">realizó seguimiento al </w:t>
            </w:r>
            <w:r w:rsidR="00362070">
              <w:rPr>
                <w:rFonts w:ascii="Calibri" w:hAnsi="Calibri" w:cs="Calibri"/>
              </w:rPr>
              <w:t>1er</w:t>
            </w:r>
            <w:r w:rsidRPr="00156464">
              <w:rPr>
                <w:rFonts w:ascii="Calibri" w:hAnsi="Calibri" w:cs="Calibri"/>
              </w:rPr>
              <w:t>. Trimestre de 201</w:t>
            </w:r>
            <w:r w:rsidR="00362070">
              <w:rPr>
                <w:rFonts w:ascii="Calibri" w:hAnsi="Calibri" w:cs="Calibri"/>
              </w:rPr>
              <w:t>8</w:t>
            </w:r>
            <w:r w:rsidR="0022774F">
              <w:rPr>
                <w:rFonts w:ascii="Calibri" w:hAnsi="Calibri" w:cs="Calibri"/>
              </w:rPr>
              <w:t xml:space="preserve"> al PAT</w:t>
            </w:r>
            <w:r w:rsidRPr="00156464">
              <w:rPr>
                <w:rFonts w:ascii="Calibri" w:hAnsi="Calibri" w:cs="Calibri"/>
              </w:rPr>
              <w:t>.</w:t>
            </w:r>
          </w:p>
          <w:p w:rsidR="00E43374" w:rsidRPr="00156464" w:rsidRDefault="00E43374" w:rsidP="009D17CF">
            <w:pPr>
              <w:jc w:val="both"/>
              <w:rPr>
                <w:rFonts w:cstheme="minorHAnsi"/>
                <w:b/>
                <w:bCs/>
              </w:rPr>
            </w:pPr>
          </w:p>
          <w:p w:rsidR="00E43374" w:rsidRPr="0004521A" w:rsidRDefault="00E43374" w:rsidP="009D17CF">
            <w:pPr>
              <w:tabs>
                <w:tab w:val="num" w:pos="720"/>
              </w:tabs>
              <w:rPr>
                <w:rFonts w:cstheme="minorHAnsi"/>
                <w:b/>
                <w:bCs/>
                <w:color w:val="FF0000"/>
                <w:lang w:val="es-CO"/>
              </w:rPr>
            </w:pPr>
            <w:r w:rsidRPr="0004521A">
              <w:rPr>
                <w:rFonts w:cstheme="minorHAnsi"/>
                <w:b/>
                <w:bCs/>
                <w:color w:val="FF0000"/>
                <w:lang w:val="es-CO"/>
              </w:rPr>
              <w:t>PROYECTO PIDI 23: SISTEMA INTEGRADO DE GESTIÓN</w:t>
            </w:r>
          </w:p>
          <w:p w:rsidR="00E43374" w:rsidRPr="00156464" w:rsidRDefault="00E43374" w:rsidP="009D17CF">
            <w:pPr>
              <w:tabs>
                <w:tab w:val="num" w:pos="720"/>
              </w:tabs>
              <w:rPr>
                <w:rFonts w:cstheme="minorHAnsi"/>
                <w:b/>
                <w:bCs/>
                <w:lang w:val="es-CO"/>
              </w:rPr>
            </w:pPr>
          </w:p>
          <w:p w:rsidR="00D4656E" w:rsidRDefault="00D076DE" w:rsidP="009D17CF">
            <w:pPr>
              <w:tabs>
                <w:tab w:val="num" w:pos="720"/>
              </w:tabs>
              <w:rPr>
                <w:rFonts w:cstheme="minorHAnsi"/>
                <w:bCs/>
                <w:lang w:val="es-CO"/>
              </w:rPr>
            </w:pPr>
            <w:r w:rsidRPr="00156464">
              <w:rPr>
                <w:rFonts w:cstheme="minorHAnsi"/>
                <w:bCs/>
                <w:lang w:val="es-CO"/>
              </w:rPr>
              <w:t xml:space="preserve">Se </w:t>
            </w:r>
            <w:r w:rsidR="00D4656E">
              <w:rPr>
                <w:rFonts w:cstheme="minorHAnsi"/>
                <w:bCs/>
                <w:lang w:val="es-CO"/>
              </w:rPr>
              <w:t>consol</w:t>
            </w:r>
            <w:r w:rsidR="00AE262C">
              <w:rPr>
                <w:rFonts w:cstheme="minorHAnsi"/>
                <w:bCs/>
                <w:lang w:val="es-CO"/>
              </w:rPr>
              <w:t>idaron los informes con corte a junio 30</w:t>
            </w:r>
            <w:r w:rsidR="00D4656E">
              <w:rPr>
                <w:rFonts w:cstheme="minorHAnsi"/>
                <w:bCs/>
                <w:lang w:val="es-CO"/>
              </w:rPr>
              <w:t xml:space="preserve"> de 201</w:t>
            </w:r>
            <w:r w:rsidR="00A856E9">
              <w:rPr>
                <w:rFonts w:cstheme="minorHAnsi"/>
                <w:bCs/>
                <w:lang w:val="es-CO"/>
              </w:rPr>
              <w:t>8</w:t>
            </w:r>
            <w:r w:rsidR="00D4656E">
              <w:rPr>
                <w:rFonts w:cstheme="minorHAnsi"/>
                <w:bCs/>
                <w:lang w:val="es-CO"/>
              </w:rPr>
              <w:t xml:space="preserve"> de los</w:t>
            </w:r>
            <w:r w:rsidR="00E43374" w:rsidRPr="00156464">
              <w:rPr>
                <w:rFonts w:cstheme="minorHAnsi"/>
                <w:bCs/>
                <w:lang w:val="es-CO"/>
              </w:rPr>
              <w:t xml:space="preserve"> responsable</w:t>
            </w:r>
            <w:r w:rsidR="00D4656E">
              <w:rPr>
                <w:rFonts w:cstheme="minorHAnsi"/>
                <w:bCs/>
                <w:lang w:val="es-CO"/>
              </w:rPr>
              <w:t>s</w:t>
            </w:r>
            <w:r w:rsidR="00E43374" w:rsidRPr="00156464">
              <w:rPr>
                <w:rFonts w:cstheme="minorHAnsi"/>
                <w:bCs/>
                <w:lang w:val="es-CO"/>
              </w:rPr>
              <w:t xml:space="preserve"> de los Sistemas </w:t>
            </w:r>
            <w:r w:rsidR="00D4656E">
              <w:rPr>
                <w:rFonts w:cstheme="minorHAnsi"/>
                <w:bCs/>
                <w:lang w:val="es-CO"/>
              </w:rPr>
              <w:t xml:space="preserve">integrados </w:t>
            </w:r>
            <w:r w:rsidR="00E43374" w:rsidRPr="00156464">
              <w:rPr>
                <w:rFonts w:cstheme="minorHAnsi"/>
                <w:bCs/>
                <w:lang w:val="es-CO"/>
              </w:rPr>
              <w:t>de Calidad</w:t>
            </w:r>
            <w:r w:rsidR="00D4656E">
              <w:rPr>
                <w:rFonts w:cstheme="minorHAnsi"/>
                <w:bCs/>
                <w:lang w:val="es-CO"/>
              </w:rPr>
              <w:t xml:space="preserve"> (ver proyecto 23 del PAT):</w:t>
            </w:r>
          </w:p>
          <w:p w:rsidR="00E43374" w:rsidRPr="00156464" w:rsidRDefault="00E43374" w:rsidP="009D17CF">
            <w:pPr>
              <w:tabs>
                <w:tab w:val="num" w:pos="720"/>
              </w:tabs>
              <w:rPr>
                <w:rFonts w:cstheme="minorHAnsi"/>
                <w:bCs/>
                <w:lang w:val="es-CO"/>
              </w:rPr>
            </w:pPr>
            <w:r w:rsidRPr="00156464">
              <w:rPr>
                <w:rFonts w:cstheme="minorHAnsi"/>
                <w:bCs/>
                <w:lang w:val="es-CO"/>
              </w:rPr>
              <w:t xml:space="preserve">Gestión </w:t>
            </w:r>
            <w:r w:rsidR="00D4656E" w:rsidRPr="00156464">
              <w:rPr>
                <w:rFonts w:cstheme="minorHAnsi"/>
                <w:bCs/>
                <w:lang w:val="es-CO"/>
              </w:rPr>
              <w:t>Documental:</w:t>
            </w:r>
            <w:r w:rsidRPr="00156464">
              <w:rPr>
                <w:rFonts w:cstheme="minorHAnsi"/>
                <w:bCs/>
                <w:lang w:val="es-CO"/>
              </w:rPr>
              <w:t xml:space="preserve"> Secretaria Seccional</w:t>
            </w:r>
            <w:r w:rsidR="00D076DE" w:rsidRPr="00156464">
              <w:rPr>
                <w:rFonts w:cstheme="minorHAnsi"/>
                <w:bCs/>
                <w:lang w:val="es-CO"/>
              </w:rPr>
              <w:t xml:space="preserve"> y Coordinadora </w:t>
            </w:r>
          </w:p>
          <w:p w:rsidR="00E43374" w:rsidRPr="00156464" w:rsidRDefault="00E43374" w:rsidP="009D17CF">
            <w:pPr>
              <w:tabs>
                <w:tab w:val="num" w:pos="720"/>
              </w:tabs>
              <w:rPr>
                <w:rFonts w:cstheme="minorHAnsi"/>
                <w:bCs/>
                <w:lang w:val="es-CO"/>
              </w:rPr>
            </w:pPr>
            <w:r w:rsidRPr="00156464">
              <w:rPr>
                <w:rFonts w:cstheme="minorHAnsi"/>
                <w:bCs/>
                <w:lang w:val="es-CO"/>
              </w:rPr>
              <w:t xml:space="preserve">Seguridad y salud en el trabajo: Jefe de Personal y Coordinadora </w:t>
            </w:r>
          </w:p>
          <w:p w:rsidR="00E43374" w:rsidRPr="00156464" w:rsidRDefault="00E43374" w:rsidP="009D17CF">
            <w:pPr>
              <w:tabs>
                <w:tab w:val="num" w:pos="720"/>
              </w:tabs>
              <w:rPr>
                <w:rFonts w:cstheme="minorHAnsi"/>
                <w:bCs/>
                <w:lang w:val="es-CO"/>
              </w:rPr>
            </w:pPr>
            <w:r w:rsidRPr="00156464">
              <w:rPr>
                <w:rFonts w:cstheme="minorHAnsi"/>
                <w:bCs/>
                <w:lang w:val="es-CO"/>
              </w:rPr>
              <w:t>Gestión ambiental: Jefe de Servicios Generales</w:t>
            </w:r>
          </w:p>
          <w:p w:rsidR="00E43374" w:rsidRPr="00156464" w:rsidRDefault="00E43374" w:rsidP="009D17CF">
            <w:pPr>
              <w:tabs>
                <w:tab w:val="num" w:pos="720"/>
              </w:tabs>
              <w:rPr>
                <w:rFonts w:cstheme="minorHAnsi"/>
                <w:bCs/>
                <w:lang w:val="es-CO"/>
              </w:rPr>
            </w:pPr>
            <w:r w:rsidRPr="00156464">
              <w:rPr>
                <w:rFonts w:cstheme="minorHAnsi"/>
                <w:bCs/>
                <w:lang w:val="es-CO"/>
              </w:rPr>
              <w:t>Seguridad en la información:  Director de Sistemas</w:t>
            </w:r>
          </w:p>
          <w:p w:rsidR="00E43374" w:rsidRDefault="00E43374" w:rsidP="009D17CF">
            <w:pPr>
              <w:tabs>
                <w:tab w:val="num" w:pos="720"/>
              </w:tabs>
              <w:rPr>
                <w:rFonts w:cstheme="minorHAnsi"/>
                <w:bCs/>
                <w:lang w:val="es-CO"/>
              </w:rPr>
            </w:pPr>
            <w:r w:rsidRPr="00156464">
              <w:rPr>
                <w:rFonts w:cstheme="minorHAnsi"/>
                <w:bCs/>
                <w:lang w:val="es-CO"/>
              </w:rPr>
              <w:t>Habilitación de Consultorios:  Coordinadora de Salud y Desarrollo Humano</w:t>
            </w:r>
          </w:p>
          <w:p w:rsidR="00AE262C" w:rsidRDefault="00AE262C" w:rsidP="009D17CF">
            <w:pPr>
              <w:tabs>
                <w:tab w:val="num" w:pos="720"/>
              </w:tabs>
              <w:rPr>
                <w:rFonts w:cstheme="minorHAnsi"/>
                <w:bCs/>
                <w:lang w:val="es-CO"/>
              </w:rPr>
            </w:pPr>
          </w:p>
          <w:p w:rsidR="00AE262C" w:rsidRPr="00AE262C" w:rsidRDefault="00AE262C" w:rsidP="00AE262C">
            <w:pPr>
              <w:tabs>
                <w:tab w:val="num" w:pos="720"/>
              </w:tabs>
              <w:rPr>
                <w:rFonts w:cstheme="minorHAnsi"/>
                <w:bCs/>
                <w:lang w:val="es-CO"/>
              </w:rPr>
            </w:pPr>
            <w:r w:rsidRPr="00AE262C">
              <w:rPr>
                <w:rFonts w:cstheme="minorHAnsi"/>
                <w:bCs/>
                <w:lang w:val="es-CO"/>
              </w:rPr>
              <w:t>• Se tiene borrador para revisión del Jefe de servicios generales sobre el procedimiento de gestión ambiental, y la propuesta de indicadores y se está creando formatos para hacer control a la gestión ambiental</w:t>
            </w:r>
          </w:p>
          <w:p w:rsidR="00AE262C" w:rsidRPr="00AE262C" w:rsidRDefault="00AE262C" w:rsidP="00AE262C">
            <w:pPr>
              <w:tabs>
                <w:tab w:val="num" w:pos="720"/>
              </w:tabs>
              <w:rPr>
                <w:rFonts w:cstheme="minorHAnsi"/>
                <w:bCs/>
                <w:lang w:val="es-CO"/>
              </w:rPr>
            </w:pPr>
            <w:r w:rsidRPr="00AE262C">
              <w:rPr>
                <w:rFonts w:cstheme="minorHAnsi"/>
                <w:bCs/>
                <w:lang w:val="es-CO"/>
              </w:rPr>
              <w:t xml:space="preserve">• Se está documentando </w:t>
            </w:r>
            <w:proofErr w:type="gramStart"/>
            <w:r w:rsidRPr="00AE262C">
              <w:rPr>
                <w:rFonts w:cstheme="minorHAnsi"/>
                <w:bCs/>
                <w:lang w:val="es-CO"/>
              </w:rPr>
              <w:t>la  propuesta</w:t>
            </w:r>
            <w:proofErr w:type="gramEnd"/>
            <w:r w:rsidRPr="00AE262C">
              <w:rPr>
                <w:rFonts w:cstheme="minorHAnsi"/>
                <w:bCs/>
                <w:lang w:val="es-CO"/>
              </w:rPr>
              <w:t xml:space="preserve"> de indicadores de gestión ambiental y seguridad y salud en el trabajo de acuerdo a la normatividad</w:t>
            </w:r>
          </w:p>
          <w:p w:rsidR="00AE262C" w:rsidRPr="00AE262C" w:rsidRDefault="00AE262C" w:rsidP="00AE262C">
            <w:pPr>
              <w:tabs>
                <w:tab w:val="num" w:pos="720"/>
              </w:tabs>
              <w:rPr>
                <w:rFonts w:cstheme="minorHAnsi"/>
                <w:bCs/>
                <w:lang w:val="es-CO"/>
              </w:rPr>
            </w:pPr>
            <w:r w:rsidRPr="00AE262C">
              <w:rPr>
                <w:rFonts w:cstheme="minorHAnsi"/>
                <w:bCs/>
                <w:lang w:val="es-CO"/>
              </w:rPr>
              <w:t>• Se trabajaron los riesgos con líderes de proceso y se tuvo en cuenta los sistemas integrados de gestión.</w:t>
            </w:r>
          </w:p>
          <w:p w:rsidR="00AE262C" w:rsidRPr="00AE262C" w:rsidRDefault="00AE262C" w:rsidP="00AE262C">
            <w:pPr>
              <w:tabs>
                <w:tab w:val="num" w:pos="720"/>
              </w:tabs>
              <w:rPr>
                <w:rFonts w:cstheme="minorHAnsi"/>
                <w:bCs/>
                <w:lang w:val="es-CO"/>
              </w:rPr>
            </w:pPr>
            <w:r w:rsidRPr="00AE262C">
              <w:rPr>
                <w:rFonts w:cstheme="minorHAnsi"/>
                <w:bCs/>
                <w:lang w:val="es-CO"/>
              </w:rPr>
              <w:lastRenderedPageBreak/>
              <w:t>• Se realizó el primer ciclo de auditorías internas y se encontró una observación en seguridad y salud en el trabajo, los demás sistemas no se tuvieron hallazgos.</w:t>
            </w:r>
          </w:p>
          <w:p w:rsidR="00AE262C" w:rsidRPr="00AE262C" w:rsidRDefault="00AE262C" w:rsidP="00AE262C">
            <w:pPr>
              <w:tabs>
                <w:tab w:val="num" w:pos="720"/>
              </w:tabs>
              <w:rPr>
                <w:rFonts w:cstheme="minorHAnsi"/>
                <w:bCs/>
                <w:lang w:val="es-CO"/>
              </w:rPr>
            </w:pPr>
            <w:r w:rsidRPr="00AE262C">
              <w:rPr>
                <w:rFonts w:cstheme="minorHAnsi"/>
                <w:bCs/>
                <w:lang w:val="es-CO"/>
              </w:rPr>
              <w:t>• Se tienen las acciones correctivas o correctivos de esta observación del SG SST.</w:t>
            </w:r>
          </w:p>
          <w:p w:rsidR="00AE262C" w:rsidRPr="00156464" w:rsidRDefault="00AE262C" w:rsidP="00AE262C">
            <w:pPr>
              <w:tabs>
                <w:tab w:val="num" w:pos="720"/>
              </w:tabs>
              <w:rPr>
                <w:rFonts w:cstheme="minorHAnsi"/>
                <w:bCs/>
                <w:lang w:val="es-CO"/>
              </w:rPr>
            </w:pPr>
            <w:r w:rsidRPr="00AE262C">
              <w:rPr>
                <w:rFonts w:cstheme="minorHAnsi"/>
                <w:bCs/>
                <w:lang w:val="es-CO"/>
              </w:rPr>
              <w:t>• Actividad permanente, donde se mantiene actualizada la página web y el punto de consulta seccional.</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9D17CF">
            <w:pPr>
              <w:jc w:val="both"/>
              <w:rPr>
                <w:rFonts w:ascii="Swis721 Lt BT" w:eastAsia="Times New Roman" w:hAnsi="Swis721 Lt BT" w:cs="Times New Roman"/>
                <w:sz w:val="24"/>
                <w:szCs w:val="24"/>
                <w:lang w:eastAsia="es-ES"/>
              </w:rPr>
            </w:pPr>
          </w:p>
        </w:tc>
      </w:tr>
      <w:tr w:rsidR="009E21F0" w:rsidRPr="00156464" w:rsidTr="000C4563">
        <w:tc>
          <w:tcPr>
            <w:tcW w:w="1844" w:type="dxa"/>
            <w:tcBorders>
              <w:top w:val="single" w:sz="4" w:space="0" w:color="auto"/>
            </w:tcBorders>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p w:rsidR="009E21F0" w:rsidRPr="008D5312" w:rsidRDefault="009E21F0" w:rsidP="009D17CF">
            <w:pPr>
              <w:shd w:val="clear" w:color="auto" w:fill="FFFFFF"/>
              <w:jc w:val="both"/>
              <w:rPr>
                <w:sz w:val="24"/>
              </w:rPr>
            </w:pPr>
            <w:r w:rsidRPr="008D5312">
              <w:rPr>
                <w:b/>
                <w:sz w:val="24"/>
              </w:rPr>
              <w:t>SNIES</w:t>
            </w:r>
            <w:r w:rsidRPr="008D5312">
              <w:rPr>
                <w:sz w:val="24"/>
              </w:rPr>
              <w:t xml:space="preserve">: Al cierre del </w:t>
            </w:r>
            <w:r w:rsidR="00BD0FD4">
              <w:rPr>
                <w:sz w:val="24"/>
              </w:rPr>
              <w:t>segundo</w:t>
            </w:r>
            <w:r w:rsidRPr="008D5312">
              <w:rPr>
                <w:sz w:val="24"/>
              </w:rPr>
              <w:t xml:space="preserve"> trimestre de 2018 se reportó al Ministerio de Educación Nacional de acuerdo a la resolución 19591 del MEN, </w:t>
            </w:r>
            <w:r w:rsidR="00343AA8">
              <w:rPr>
                <w:sz w:val="24"/>
              </w:rPr>
              <w:t>l</w:t>
            </w:r>
            <w:r w:rsidRPr="008D5312">
              <w:rPr>
                <w:sz w:val="24"/>
              </w:rPr>
              <w:t xml:space="preserve">os aspectos de población estudiantil (Inscritos, Admitidos, matriculados, Primer curso, Materias inscritas del matriculado, Apoyos Académicos, Retiros y Cupos). A través de la herramienta de cargue HECAA del Ministerio MEN, </w:t>
            </w:r>
            <w:r w:rsidR="00343AA8">
              <w:rPr>
                <w:sz w:val="24"/>
              </w:rPr>
              <w:t xml:space="preserve">en </w:t>
            </w:r>
            <w:r w:rsidRPr="008D5312">
              <w:rPr>
                <w:sz w:val="24"/>
              </w:rPr>
              <w:t xml:space="preserve">el proceso ha mejorado el cargue de variables que tradicionalmente son reportas; a la fecha se cumplió con el </w:t>
            </w:r>
            <w:r w:rsidR="00343AA8">
              <w:rPr>
                <w:sz w:val="24"/>
              </w:rPr>
              <w:t>95</w:t>
            </w:r>
            <w:r w:rsidRPr="008D5312">
              <w:rPr>
                <w:sz w:val="24"/>
              </w:rPr>
              <w:t xml:space="preserve">%. </w:t>
            </w:r>
            <w:r w:rsidR="00343AA8">
              <w:rPr>
                <w:sz w:val="24"/>
              </w:rPr>
              <w:t>Toda vez que aún existen dos casos en la mesa de ayuda por resolver.</w:t>
            </w:r>
          </w:p>
          <w:p w:rsidR="009E21F0" w:rsidRPr="008D5312" w:rsidRDefault="009E21F0" w:rsidP="009D17CF">
            <w:pPr>
              <w:shd w:val="clear" w:color="auto" w:fill="FFFFFF"/>
              <w:jc w:val="both"/>
              <w:rPr>
                <w:sz w:val="24"/>
              </w:rPr>
            </w:pPr>
            <w:r w:rsidRPr="008D5312">
              <w:rPr>
                <w:sz w:val="24"/>
              </w:rPr>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9E21F0" w:rsidRPr="008D5312" w:rsidTr="00B61811">
              <w:trPr>
                <w:trHeight w:val="284"/>
                <w:jc w:val="center"/>
              </w:trPr>
              <w:tc>
                <w:tcPr>
                  <w:tcW w:w="2119" w:type="dxa"/>
                  <w:shd w:val="clear" w:color="auto" w:fill="D99594" w:themeFill="accent2" w:themeFillTint="99"/>
                </w:tcPr>
                <w:p w:rsidR="009E21F0" w:rsidRPr="008D5312" w:rsidRDefault="009E21F0" w:rsidP="009D17CF">
                  <w:pPr>
                    <w:jc w:val="both"/>
                    <w:rPr>
                      <w:sz w:val="24"/>
                    </w:rPr>
                  </w:pPr>
                  <w:r w:rsidRPr="008D5312">
                    <w:rPr>
                      <w:sz w:val="24"/>
                    </w:rPr>
                    <w:t>Reporte 2018-1</w:t>
                  </w:r>
                </w:p>
              </w:tc>
              <w:tc>
                <w:tcPr>
                  <w:tcW w:w="2119" w:type="dxa"/>
                  <w:shd w:val="clear" w:color="auto" w:fill="D99594" w:themeFill="accent2" w:themeFillTint="99"/>
                </w:tcPr>
                <w:p w:rsidR="009E21F0" w:rsidRPr="008D5312" w:rsidRDefault="009E21F0" w:rsidP="009D17CF">
                  <w:pPr>
                    <w:jc w:val="both"/>
                    <w:rPr>
                      <w:sz w:val="24"/>
                    </w:rPr>
                  </w:pPr>
                  <w:r w:rsidRPr="008D5312">
                    <w:rPr>
                      <w:sz w:val="24"/>
                    </w:rPr>
                    <w:t>Validación</w:t>
                  </w:r>
                </w:p>
              </w:tc>
            </w:tr>
            <w:tr w:rsidR="009E21F0" w:rsidRPr="008D5312" w:rsidTr="00B61811">
              <w:trPr>
                <w:trHeight w:val="268"/>
                <w:jc w:val="center"/>
              </w:trPr>
              <w:tc>
                <w:tcPr>
                  <w:tcW w:w="2119" w:type="dxa"/>
                </w:tcPr>
                <w:p w:rsidR="009E21F0" w:rsidRPr="008D5312" w:rsidRDefault="009E21F0" w:rsidP="009D17CF">
                  <w:pPr>
                    <w:jc w:val="both"/>
                    <w:rPr>
                      <w:sz w:val="24"/>
                    </w:rPr>
                  </w:pPr>
                  <w:r w:rsidRPr="008D5312">
                    <w:rPr>
                      <w:sz w:val="24"/>
                    </w:rPr>
                    <w:t>Reporte 2018-1</w:t>
                  </w:r>
                </w:p>
              </w:tc>
              <w:tc>
                <w:tcPr>
                  <w:tcW w:w="2119" w:type="dxa"/>
                </w:tcPr>
                <w:p w:rsidR="009E21F0" w:rsidRPr="008D5312" w:rsidRDefault="009E21F0" w:rsidP="009D17CF">
                  <w:pPr>
                    <w:jc w:val="both"/>
                    <w:rPr>
                      <w:sz w:val="24"/>
                    </w:rPr>
                  </w:pPr>
                  <w:r w:rsidRPr="008D5312">
                    <w:rPr>
                      <w:sz w:val="24"/>
                    </w:rPr>
                    <w:t>Validación</w:t>
                  </w:r>
                </w:p>
              </w:tc>
            </w:tr>
            <w:tr w:rsidR="009E21F0" w:rsidRPr="008D5312" w:rsidTr="00B61811">
              <w:trPr>
                <w:trHeight w:val="268"/>
                <w:jc w:val="center"/>
              </w:trPr>
              <w:tc>
                <w:tcPr>
                  <w:tcW w:w="2119" w:type="dxa"/>
                </w:tcPr>
                <w:p w:rsidR="009E21F0" w:rsidRPr="008D5312" w:rsidRDefault="002F13B3" w:rsidP="002F13B3">
                  <w:pPr>
                    <w:jc w:val="both"/>
                    <w:rPr>
                      <w:sz w:val="24"/>
                    </w:rPr>
                  </w:pPr>
                  <w:r>
                    <w:rPr>
                      <w:sz w:val="24"/>
                    </w:rPr>
                    <w:t>95</w:t>
                  </w:r>
                  <w:r w:rsidR="009E21F0" w:rsidRPr="008D5312">
                    <w:rPr>
                      <w:sz w:val="24"/>
                    </w:rPr>
                    <w:t>%</w:t>
                  </w:r>
                </w:p>
              </w:tc>
              <w:tc>
                <w:tcPr>
                  <w:tcW w:w="2119" w:type="dxa"/>
                </w:tcPr>
                <w:p w:rsidR="009E21F0" w:rsidRPr="008D5312" w:rsidRDefault="002F13B3" w:rsidP="002F13B3">
                  <w:pPr>
                    <w:jc w:val="both"/>
                    <w:rPr>
                      <w:sz w:val="24"/>
                    </w:rPr>
                  </w:pPr>
                  <w:r>
                    <w:rPr>
                      <w:sz w:val="24"/>
                    </w:rPr>
                    <w:t>95</w:t>
                  </w:r>
                  <w:r w:rsidR="009E21F0" w:rsidRPr="008D5312">
                    <w:rPr>
                      <w:sz w:val="24"/>
                    </w:rPr>
                    <w:t>%</w:t>
                  </w:r>
                </w:p>
              </w:tc>
            </w:tr>
          </w:tbl>
          <w:p w:rsidR="009E21F0" w:rsidRPr="008D5312" w:rsidRDefault="009E21F0" w:rsidP="009D17CF">
            <w:pPr>
              <w:jc w:val="both"/>
              <w:rPr>
                <w:sz w:val="24"/>
              </w:rPr>
            </w:pPr>
            <w:r w:rsidRPr="008D5312">
              <w:rPr>
                <w:b/>
                <w:sz w:val="24"/>
              </w:rPr>
              <w:t>SACES</w:t>
            </w:r>
            <w:r w:rsidRPr="008D5312">
              <w:rPr>
                <w:sz w:val="24"/>
              </w:rPr>
              <w:t xml:space="preserve">: En el proceso se reportó en la plataforma SACES MEN-CNA, todas las solicitudes generadas por las Facultades, Dirección de Planeación con respecto a Contaduría, Ing. Civil </w:t>
            </w:r>
            <w:proofErr w:type="spellStart"/>
            <w:r w:rsidR="00343AA8" w:rsidRPr="008D5312">
              <w:rPr>
                <w:sz w:val="24"/>
              </w:rPr>
              <w:t>Ing</w:t>
            </w:r>
            <w:proofErr w:type="spellEnd"/>
            <w:r w:rsidR="00343AA8">
              <w:rPr>
                <w:sz w:val="24"/>
              </w:rPr>
              <w:t>, (se encuentran en estado “para ponencia de consejero”,</w:t>
            </w:r>
            <w:r w:rsidR="00343AA8" w:rsidRPr="008D5312">
              <w:rPr>
                <w:sz w:val="24"/>
              </w:rPr>
              <w:t xml:space="preserve"> </w:t>
            </w:r>
            <w:r w:rsidR="00343AA8">
              <w:rPr>
                <w:sz w:val="24"/>
              </w:rPr>
              <w:t xml:space="preserve">Ing. </w:t>
            </w:r>
            <w:r w:rsidR="00343AA8" w:rsidRPr="008D5312">
              <w:rPr>
                <w:sz w:val="24"/>
              </w:rPr>
              <w:t xml:space="preserve">Comercial </w:t>
            </w:r>
            <w:r w:rsidR="009F3916">
              <w:rPr>
                <w:sz w:val="24"/>
              </w:rPr>
              <w:t>ya tiene concepto de la sala y en espera de la resolución de acreditación.</w:t>
            </w:r>
            <w:r w:rsidR="008B14FC">
              <w:rPr>
                <w:sz w:val="24"/>
              </w:rPr>
              <w:t xml:space="preserve"> En relación con RC, existe una solicitud de oficio del programa de Enfermería el cual se aportó todo lo solicitado  </w:t>
            </w:r>
            <w:r w:rsidRPr="008D5312">
              <w:rPr>
                <w:sz w:val="24"/>
              </w:rPr>
              <w:t xml:space="preserve"> </w:t>
            </w:r>
            <w:r w:rsidR="008B14FC">
              <w:rPr>
                <w:sz w:val="24"/>
              </w:rPr>
              <w:t>en Docencia Servicio.</w:t>
            </w:r>
          </w:p>
          <w:p w:rsidR="009E21F0" w:rsidRPr="008D5312" w:rsidRDefault="009E21F0" w:rsidP="009D17CF">
            <w:pPr>
              <w:jc w:val="both"/>
              <w:rPr>
                <w:sz w:val="24"/>
              </w:rPr>
            </w:pPr>
          </w:p>
          <w:p w:rsidR="009E21F0" w:rsidRPr="008D5312" w:rsidRDefault="009E21F0" w:rsidP="009D17CF">
            <w:pPr>
              <w:jc w:val="both"/>
              <w:rPr>
                <w:sz w:val="24"/>
              </w:rPr>
            </w:pPr>
            <w:r w:rsidRPr="008D5312">
              <w:rPr>
                <w:b/>
                <w:sz w:val="24"/>
              </w:rPr>
              <w:t>SPADIES</w:t>
            </w:r>
            <w:r w:rsidRPr="008D5312">
              <w:rPr>
                <w:sz w:val="24"/>
              </w:rPr>
              <w:t xml:space="preserve">: Al Corte de </w:t>
            </w:r>
            <w:r w:rsidR="000D5F68">
              <w:rPr>
                <w:sz w:val="24"/>
              </w:rPr>
              <w:t xml:space="preserve">segundo </w:t>
            </w:r>
            <w:r w:rsidRPr="008D5312">
              <w:rPr>
                <w:sz w:val="24"/>
              </w:rPr>
              <w:t xml:space="preserve">trimestre la </w:t>
            </w:r>
            <w:r w:rsidR="000D5F68" w:rsidRPr="008D5312">
              <w:rPr>
                <w:sz w:val="24"/>
              </w:rPr>
              <w:t xml:space="preserve">institución </w:t>
            </w:r>
            <w:r w:rsidR="00DD62B4">
              <w:rPr>
                <w:sz w:val="24"/>
              </w:rPr>
              <w:t>cumplió con</w:t>
            </w:r>
            <w:r w:rsidR="000D5F68">
              <w:rPr>
                <w:sz w:val="24"/>
              </w:rPr>
              <w:t xml:space="preserve"> </w:t>
            </w:r>
            <w:r w:rsidR="00DD62B4">
              <w:rPr>
                <w:sz w:val="24"/>
              </w:rPr>
              <w:t xml:space="preserve">enviar </w:t>
            </w:r>
            <w:r w:rsidR="00374939">
              <w:rPr>
                <w:sz w:val="24"/>
              </w:rPr>
              <w:t>las matrices</w:t>
            </w:r>
            <w:r w:rsidR="00DD62B4">
              <w:rPr>
                <w:sz w:val="24"/>
              </w:rPr>
              <w:t xml:space="preserve"> de errores</w:t>
            </w:r>
            <w:r w:rsidR="003F1E47">
              <w:rPr>
                <w:sz w:val="24"/>
              </w:rPr>
              <w:t xml:space="preserve"> corregidas</w:t>
            </w:r>
            <w:r w:rsidR="00DD62B4">
              <w:rPr>
                <w:sz w:val="24"/>
              </w:rPr>
              <w:t xml:space="preserve"> propuesta</w:t>
            </w:r>
            <w:r w:rsidR="003F1E47">
              <w:rPr>
                <w:sz w:val="24"/>
              </w:rPr>
              <w:t>s</w:t>
            </w:r>
            <w:r w:rsidR="00DD62B4">
              <w:rPr>
                <w:sz w:val="24"/>
              </w:rPr>
              <w:t xml:space="preserve"> por la mesa de ayuda SPADIES, con el propósito de regularizar los datos de la nueva plataforma </w:t>
            </w:r>
            <w:r w:rsidRPr="008D5312">
              <w:rPr>
                <w:sz w:val="24"/>
              </w:rPr>
              <w:t xml:space="preserve">versión 3.0, la </w:t>
            </w:r>
            <w:r w:rsidR="00DD62B4">
              <w:rPr>
                <w:sz w:val="24"/>
              </w:rPr>
              <w:t xml:space="preserve">universidad se encuentra a la espera de poder cargar los </w:t>
            </w:r>
            <w:r w:rsidR="00374939">
              <w:rPr>
                <w:sz w:val="24"/>
              </w:rPr>
              <w:t xml:space="preserve">periodos </w:t>
            </w:r>
            <w:r w:rsidR="00374939" w:rsidRPr="008D5312">
              <w:rPr>
                <w:sz w:val="24"/>
              </w:rPr>
              <w:t>2017</w:t>
            </w:r>
            <w:r w:rsidRPr="008D5312">
              <w:rPr>
                <w:sz w:val="24"/>
              </w:rPr>
              <w:t>-1, 2017-2</w:t>
            </w:r>
            <w:r w:rsidR="00DD62B4">
              <w:rPr>
                <w:sz w:val="24"/>
              </w:rPr>
              <w:t xml:space="preserve"> y 2018-</w:t>
            </w:r>
            <w:r w:rsidR="00374939">
              <w:rPr>
                <w:sz w:val="24"/>
              </w:rPr>
              <w:t>1</w:t>
            </w:r>
            <w:r w:rsidR="00374939" w:rsidRPr="008D5312">
              <w:rPr>
                <w:sz w:val="24"/>
              </w:rPr>
              <w:t>.</w:t>
            </w:r>
          </w:p>
          <w:p w:rsidR="009E21F0" w:rsidRPr="008D5312" w:rsidRDefault="009E21F0" w:rsidP="009D17CF">
            <w:pPr>
              <w:shd w:val="clear" w:color="auto" w:fill="FFFFFF"/>
              <w:jc w:val="both"/>
              <w:rPr>
                <w:sz w:val="24"/>
              </w:rPr>
            </w:pPr>
            <w:r w:rsidRPr="008D5312">
              <w:rPr>
                <w:sz w:val="24"/>
              </w:rPr>
              <w:t>Reportes SPADIES</w:t>
            </w:r>
          </w:p>
          <w:p w:rsidR="009E21F0" w:rsidRPr="008D5312" w:rsidRDefault="009E21F0" w:rsidP="009D17CF">
            <w:pPr>
              <w:jc w:val="both"/>
              <w:rPr>
                <w:b/>
                <w:sz w:val="24"/>
              </w:rPr>
            </w:pPr>
          </w:p>
          <w:p w:rsidR="009E21F0" w:rsidRPr="008D5312" w:rsidRDefault="009E21F0" w:rsidP="009D17CF">
            <w:pPr>
              <w:jc w:val="both"/>
              <w:rPr>
                <w:sz w:val="24"/>
              </w:rPr>
            </w:pPr>
            <w:r w:rsidRPr="008D5312">
              <w:rPr>
                <w:b/>
                <w:sz w:val="24"/>
              </w:rPr>
              <w:t>OLE, (Observatorio Laboral de la Educación Superior)</w:t>
            </w:r>
            <w:r w:rsidRPr="008D5312">
              <w:rPr>
                <w:sz w:val="24"/>
              </w:rPr>
              <w:t xml:space="preserve"> en el </w:t>
            </w:r>
            <w:r w:rsidR="00374939">
              <w:rPr>
                <w:sz w:val="24"/>
              </w:rPr>
              <w:t xml:space="preserve">segundo </w:t>
            </w:r>
            <w:r w:rsidRPr="008D5312">
              <w:rPr>
                <w:sz w:val="24"/>
              </w:rPr>
              <w:t>trimestre de 2018 se ha seguido los lineamientos de la Rectoría Seccional sobre el diligenciamiento de la encuesta del MEN de toda la población estudiantil Graduada y se ha socialización con la oficina de egresados; lo mismo que con las diferentes facultades que han requerido de esta importante información para ser tenida en cuenta en los procesos de autoevaluación para registros calificados, igual que en los procesos de acreditación en alta calidad y  programas de mercadeo.</w:t>
            </w:r>
          </w:p>
          <w:p w:rsidR="009E21F0" w:rsidRPr="008D5312" w:rsidRDefault="009E21F0" w:rsidP="009D17CF">
            <w:pPr>
              <w:jc w:val="both"/>
              <w:rPr>
                <w:sz w:val="24"/>
              </w:rPr>
            </w:pPr>
          </w:p>
          <w:p w:rsidR="009E21F0" w:rsidRPr="008D5312" w:rsidRDefault="009E21F0" w:rsidP="009D17CF">
            <w:pPr>
              <w:jc w:val="both"/>
              <w:rPr>
                <w:sz w:val="24"/>
              </w:rPr>
            </w:pPr>
            <w:r w:rsidRPr="008D5312">
              <w:rPr>
                <w:b/>
                <w:sz w:val="24"/>
              </w:rPr>
              <w:t>Evaluación docente</w:t>
            </w:r>
            <w:r w:rsidRPr="008D5312">
              <w:rPr>
                <w:sz w:val="24"/>
              </w:rPr>
              <w:t xml:space="preserve">: Según directriz de Rectoría Nacional durante este periodo se </w:t>
            </w:r>
            <w:r w:rsidR="00374939" w:rsidRPr="008D5312">
              <w:rPr>
                <w:sz w:val="24"/>
              </w:rPr>
              <w:t>aplic</w:t>
            </w:r>
            <w:r w:rsidR="00374939">
              <w:rPr>
                <w:sz w:val="24"/>
              </w:rPr>
              <w:t>ó</w:t>
            </w:r>
            <w:r w:rsidRPr="008D5312">
              <w:rPr>
                <w:sz w:val="24"/>
              </w:rPr>
              <w:t xml:space="preserve"> los instrumentos aprobados del reglamento anterior </w:t>
            </w:r>
            <w:r w:rsidR="00374939">
              <w:rPr>
                <w:sz w:val="24"/>
              </w:rPr>
              <w:t xml:space="preserve">y se consolido las evaluaciones de los programas </w:t>
            </w:r>
            <w:proofErr w:type="spellStart"/>
            <w:r w:rsidR="00374939">
              <w:rPr>
                <w:sz w:val="24"/>
              </w:rPr>
              <w:t>semestralizados</w:t>
            </w:r>
            <w:proofErr w:type="spellEnd"/>
            <w:r w:rsidR="00374939">
              <w:rPr>
                <w:sz w:val="24"/>
              </w:rPr>
              <w:t xml:space="preserve"> 2018-1 y Derecho calendario B</w:t>
            </w:r>
          </w:p>
          <w:p w:rsidR="009E21F0" w:rsidRPr="008D5312" w:rsidRDefault="009E21F0" w:rsidP="009D17CF">
            <w:pPr>
              <w:jc w:val="both"/>
              <w:rPr>
                <w:sz w:val="24"/>
              </w:rPr>
            </w:pPr>
          </w:p>
          <w:p w:rsidR="008D5312" w:rsidRPr="008F513A" w:rsidRDefault="009E21F0" w:rsidP="009D17CF">
            <w:pPr>
              <w:jc w:val="both"/>
              <w:rPr>
                <w:sz w:val="24"/>
              </w:rPr>
            </w:pPr>
            <w:r w:rsidRPr="008D5312">
              <w:rPr>
                <w:b/>
                <w:sz w:val="24"/>
              </w:rPr>
              <w:t>Pruebas Saber PRO</w:t>
            </w:r>
            <w:r w:rsidRPr="008D5312">
              <w:rPr>
                <w:sz w:val="24"/>
              </w:rPr>
              <w:t>: los resultados de 2017-</w:t>
            </w:r>
            <w:r w:rsidR="00374939">
              <w:rPr>
                <w:sz w:val="24"/>
              </w:rPr>
              <w:t>3</w:t>
            </w:r>
            <w:r w:rsidRPr="008D5312">
              <w:rPr>
                <w:sz w:val="24"/>
              </w:rPr>
              <w:t xml:space="preserve"> fueron liberados en forma consolidada por programa e institución, los agregados y los individuales por alumnos por programa de Derecho y </w:t>
            </w:r>
            <w:proofErr w:type="spellStart"/>
            <w:r w:rsidRPr="008D5312">
              <w:rPr>
                <w:sz w:val="24"/>
              </w:rPr>
              <w:t>semestralizados</w:t>
            </w:r>
            <w:proofErr w:type="spellEnd"/>
            <w:r w:rsidRPr="008D5312">
              <w:rPr>
                <w:sz w:val="24"/>
              </w:rPr>
              <w:t xml:space="preserve"> se enviaron a las facultades para la revisión y aplicación de los estímulos alcanzados por los alumnos en estas pruebas. En relación con la programación del año 2018 </w:t>
            </w:r>
            <w:r w:rsidR="00374939">
              <w:rPr>
                <w:sz w:val="24"/>
              </w:rPr>
              <w:t>se cumplió con</w:t>
            </w:r>
            <w:r w:rsidRPr="008D5312">
              <w:rPr>
                <w:sz w:val="24"/>
              </w:rPr>
              <w:t xml:space="preserve"> el cronograma e instructivos para la aplicación en los meses próximos, además de las pruebas en el exterior</w:t>
            </w:r>
            <w:r w:rsidR="00374939">
              <w:rPr>
                <w:sz w:val="24"/>
              </w:rPr>
              <w:t xml:space="preserve"> y SABER PRO segundo semestre 2018</w:t>
            </w:r>
            <w:r w:rsidRPr="008D5312">
              <w:rPr>
                <w:sz w:val="24"/>
              </w:rPr>
              <w:t>.</w:t>
            </w: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r w:rsidR="009E21F0" w:rsidRPr="00156464" w:rsidTr="005D456A">
        <w:tc>
          <w:tcPr>
            <w:tcW w:w="1844" w:type="dxa"/>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p>
        </w:tc>
        <w:tc>
          <w:tcPr>
            <w:tcW w:w="8505" w:type="dxa"/>
            <w:shd w:val="clear" w:color="auto" w:fill="FFFFFF" w:themeFill="background1"/>
          </w:tcPr>
          <w:p w:rsidR="00E57D36" w:rsidRPr="003C2F68" w:rsidRDefault="00E57D36" w:rsidP="00E57D36">
            <w:pPr>
              <w:shd w:val="clear" w:color="auto" w:fill="FFFFFF" w:themeFill="background1"/>
              <w:jc w:val="both"/>
              <w:rPr>
                <w:rFonts w:ascii="Arial" w:eastAsia="Times New Roman" w:hAnsi="Arial" w:cs="Arial"/>
                <w:color w:val="000000"/>
                <w:lang w:eastAsia="es-ES"/>
              </w:rPr>
            </w:pPr>
            <w:r w:rsidRPr="003C2F68">
              <w:rPr>
                <w:rFonts w:ascii="Arial" w:eastAsia="Times New Roman" w:hAnsi="Arial" w:cs="Arial"/>
                <w:color w:val="000000"/>
                <w:lang w:eastAsia="es-ES"/>
              </w:rPr>
              <w:t>Al cierre del primer semestre de 2018, se consolidó la información de la ejecución del Plan Integral de desarrollo institucional, lográndose los siguientes resultados:</w:t>
            </w:r>
          </w:p>
          <w:p w:rsidR="00E57D36" w:rsidRPr="003C2F68" w:rsidRDefault="00E57D36" w:rsidP="00E57D36">
            <w:pPr>
              <w:shd w:val="clear" w:color="auto" w:fill="FFFFFF" w:themeFill="background1"/>
              <w:jc w:val="both"/>
              <w:rPr>
                <w:rFonts w:ascii="Arial" w:eastAsia="Times New Roman" w:hAnsi="Arial" w:cs="Arial"/>
                <w:color w:val="000000"/>
                <w:lang w:eastAsia="es-ES"/>
              </w:rPr>
            </w:pPr>
          </w:p>
          <w:p w:rsidR="00E57D36" w:rsidRPr="003C2F68" w:rsidRDefault="00E57D36" w:rsidP="00E57D36">
            <w:pPr>
              <w:shd w:val="clear" w:color="auto" w:fill="FFFFFF" w:themeFill="background1"/>
              <w:jc w:val="both"/>
              <w:rPr>
                <w:rFonts w:ascii="Arial" w:eastAsia="Times New Roman" w:hAnsi="Arial" w:cs="Arial"/>
                <w:color w:val="000000"/>
                <w:lang w:val="es-CO" w:eastAsia="es-ES"/>
              </w:rPr>
            </w:pPr>
            <w:r w:rsidRPr="003C2F68">
              <w:rPr>
                <w:rFonts w:ascii="Arial" w:eastAsia="Times New Roman" w:hAnsi="Arial" w:cs="Arial"/>
                <w:bCs/>
                <w:color w:val="000000"/>
                <w:lang w:val="es-CO" w:eastAsia="es-ES"/>
              </w:rPr>
              <w:t>ACTIVIDADES: 44%</w:t>
            </w:r>
          </w:p>
          <w:p w:rsidR="00E57D36" w:rsidRPr="003C2F68" w:rsidRDefault="00E57D36" w:rsidP="00E57D36">
            <w:pPr>
              <w:shd w:val="clear" w:color="auto" w:fill="FFFFFF" w:themeFill="background1"/>
              <w:jc w:val="both"/>
              <w:rPr>
                <w:rFonts w:ascii="Arial" w:eastAsia="Times New Roman" w:hAnsi="Arial" w:cs="Arial"/>
                <w:color w:val="000000"/>
                <w:lang w:val="es-CO" w:eastAsia="es-ES"/>
              </w:rPr>
            </w:pPr>
            <w:r w:rsidRPr="003C2F68">
              <w:rPr>
                <w:rFonts w:ascii="Arial" w:eastAsia="Times New Roman" w:hAnsi="Arial" w:cs="Arial"/>
                <w:bCs/>
                <w:color w:val="000000"/>
                <w:lang w:val="es-CO" w:eastAsia="es-ES"/>
              </w:rPr>
              <w:t>METAS: 37%</w:t>
            </w:r>
          </w:p>
          <w:p w:rsidR="00E57D36" w:rsidRPr="003C2F68" w:rsidRDefault="00E57D36" w:rsidP="00E57D36">
            <w:pPr>
              <w:shd w:val="clear" w:color="auto" w:fill="FFFFFF" w:themeFill="background1"/>
              <w:jc w:val="both"/>
              <w:rPr>
                <w:rFonts w:ascii="Arial" w:eastAsia="Times New Roman" w:hAnsi="Arial" w:cs="Arial"/>
                <w:bCs/>
                <w:color w:val="000000"/>
                <w:lang w:val="es-CO" w:eastAsia="es-ES"/>
              </w:rPr>
            </w:pPr>
            <w:r w:rsidRPr="003C2F68">
              <w:rPr>
                <w:rFonts w:ascii="Arial" w:eastAsia="Times New Roman" w:hAnsi="Arial" w:cs="Arial"/>
                <w:bCs/>
                <w:color w:val="000000"/>
                <w:lang w:val="es-CO" w:eastAsia="es-ES"/>
              </w:rPr>
              <w:t>PRESUPUESTO:  21%</w:t>
            </w:r>
          </w:p>
          <w:p w:rsidR="00E57D36" w:rsidRPr="003C2F68" w:rsidRDefault="00E57D36" w:rsidP="00E57D36">
            <w:pPr>
              <w:shd w:val="clear" w:color="auto" w:fill="FFFFFF" w:themeFill="background1"/>
              <w:jc w:val="both"/>
              <w:rPr>
                <w:rFonts w:ascii="Arial" w:eastAsia="Times New Roman" w:hAnsi="Arial" w:cs="Arial"/>
                <w:bCs/>
                <w:color w:val="000000"/>
                <w:lang w:val="es-CO" w:eastAsia="es-ES"/>
              </w:rPr>
            </w:pPr>
          </w:p>
          <w:p w:rsidR="00E57D36" w:rsidRDefault="00E57D36" w:rsidP="00E57D36">
            <w:pPr>
              <w:shd w:val="clear" w:color="auto" w:fill="FFFFFF" w:themeFill="background1"/>
              <w:jc w:val="both"/>
              <w:rPr>
                <w:rFonts w:ascii="Arial" w:eastAsia="Times New Roman" w:hAnsi="Arial" w:cs="Arial"/>
                <w:bCs/>
                <w:color w:val="000000"/>
                <w:lang w:val="es-CO" w:eastAsia="es-ES"/>
              </w:rPr>
            </w:pPr>
            <w:r w:rsidRPr="003C2F68">
              <w:rPr>
                <w:rFonts w:ascii="Arial" w:eastAsia="Times New Roman" w:hAnsi="Arial" w:cs="Arial"/>
                <w:bCs/>
                <w:color w:val="000000"/>
                <w:lang w:val="es-CO" w:eastAsia="es-ES"/>
              </w:rPr>
              <w:t>Lo cual indic</w:t>
            </w:r>
            <w:r>
              <w:rPr>
                <w:rFonts w:ascii="Arial" w:eastAsia="Times New Roman" w:hAnsi="Arial" w:cs="Arial"/>
                <w:bCs/>
                <w:color w:val="000000"/>
                <w:lang w:val="es-CO" w:eastAsia="es-ES"/>
              </w:rPr>
              <w:t>a que es necesario adelantar esfuerzos mayores en el segundo semestre para cumplir a plenitud con los objetivos institucionales, las metas propuestas y por sobre todo cumplir con los planes de mejora para la acreditación de programa e institucional.</w:t>
            </w:r>
          </w:p>
          <w:p w:rsidR="00E57D36" w:rsidRPr="003C2F68" w:rsidRDefault="00E57D36" w:rsidP="00E57D36">
            <w:pPr>
              <w:shd w:val="clear" w:color="auto" w:fill="FFFFFF" w:themeFill="background1"/>
              <w:jc w:val="both"/>
              <w:rPr>
                <w:rFonts w:ascii="Arial" w:eastAsia="Times New Roman" w:hAnsi="Arial" w:cs="Arial"/>
                <w:color w:val="000000"/>
                <w:lang w:val="es-CO" w:eastAsia="es-ES"/>
              </w:rPr>
            </w:pPr>
          </w:p>
          <w:p w:rsidR="00E57D36" w:rsidRDefault="00E57D36" w:rsidP="00E57D36">
            <w:pPr>
              <w:shd w:val="clear" w:color="auto" w:fill="FFFFFF" w:themeFill="background1"/>
              <w:jc w:val="both"/>
              <w:rPr>
                <w:rFonts w:ascii="Arial" w:eastAsia="Times New Roman" w:hAnsi="Arial" w:cs="Arial"/>
                <w:color w:val="000000"/>
                <w:lang w:eastAsia="es-ES"/>
              </w:rPr>
            </w:pPr>
            <w:r w:rsidRPr="003C2F68">
              <w:rPr>
                <w:rFonts w:ascii="Arial" w:eastAsia="Times New Roman" w:hAnsi="Arial" w:cs="Arial"/>
                <w:color w:val="000000"/>
                <w:lang w:eastAsia="es-ES"/>
              </w:rPr>
              <w:t xml:space="preserve"> </w:t>
            </w:r>
            <w:r>
              <w:rPr>
                <w:rFonts w:ascii="Arial" w:eastAsia="Times New Roman" w:hAnsi="Arial" w:cs="Arial"/>
                <w:color w:val="000000"/>
                <w:lang w:eastAsia="es-ES"/>
              </w:rPr>
              <w:t>Se dio inicio a la planeación estratégica para el año 2019 con la elaboración del Plan Anual de Trabajo PAT 2019 que es la base para la elaboración del presupuesto. Este ejercicio se llevó a cabo con la participación de los líderes de los proyectos.</w:t>
            </w:r>
          </w:p>
          <w:p w:rsidR="00E57D36" w:rsidRDefault="00E57D36" w:rsidP="00E57D36">
            <w:pPr>
              <w:shd w:val="clear" w:color="auto" w:fill="FFFFFF" w:themeFill="background1"/>
              <w:jc w:val="both"/>
              <w:rPr>
                <w:rFonts w:ascii="Arial" w:eastAsia="Times New Roman" w:hAnsi="Arial" w:cs="Arial"/>
                <w:color w:val="000000"/>
                <w:lang w:eastAsia="es-ES"/>
              </w:rPr>
            </w:pPr>
          </w:p>
          <w:p w:rsidR="00E57D36" w:rsidRDefault="00E57D36" w:rsidP="00E57D36">
            <w:pPr>
              <w:shd w:val="clear" w:color="auto" w:fill="FFFFFF" w:themeFill="background1"/>
              <w:jc w:val="both"/>
              <w:rPr>
                <w:rFonts w:ascii="Arial" w:eastAsia="Times New Roman" w:hAnsi="Arial" w:cs="Arial"/>
                <w:color w:val="000000"/>
                <w:lang w:eastAsia="es-ES"/>
              </w:rPr>
            </w:pPr>
          </w:p>
          <w:p w:rsidR="00E57D36" w:rsidRDefault="00E57D36" w:rsidP="00E57D36">
            <w:pPr>
              <w:shd w:val="clear" w:color="auto" w:fill="FFFFFF" w:themeFill="background1"/>
              <w:jc w:val="both"/>
              <w:rPr>
                <w:rFonts w:ascii="Arial" w:eastAsia="Times New Roman" w:hAnsi="Arial" w:cs="Arial"/>
                <w:color w:val="000000"/>
                <w:lang w:eastAsia="es-ES"/>
              </w:rPr>
            </w:pPr>
            <w:r>
              <w:rPr>
                <w:rFonts w:ascii="Arial" w:eastAsia="Times New Roman" w:hAnsi="Arial" w:cs="Arial"/>
                <w:color w:val="000000"/>
                <w:lang w:eastAsia="es-ES"/>
              </w:rPr>
              <w:t xml:space="preserve">La Dirección Nacional de Planeación reunió a los directores seccionales de planeación, para que, junto con los equipos de acreditación, </w:t>
            </w:r>
            <w:r w:rsidR="00791093">
              <w:rPr>
                <w:rFonts w:ascii="Arial" w:eastAsia="Times New Roman" w:hAnsi="Arial" w:cs="Arial"/>
                <w:color w:val="000000"/>
                <w:lang w:eastAsia="es-ES"/>
              </w:rPr>
              <w:t>se desarrolló</w:t>
            </w:r>
            <w:r>
              <w:rPr>
                <w:rFonts w:ascii="Arial" w:eastAsia="Times New Roman" w:hAnsi="Arial" w:cs="Arial"/>
                <w:color w:val="000000"/>
                <w:lang w:eastAsia="es-ES"/>
              </w:rPr>
              <w:t xml:space="preserve"> una armonización entre el Plan Anual de Trabajo y el plan de mejoramiento institucional, lo cual garantizará seguimiento permanente a ambos planes.</w:t>
            </w:r>
          </w:p>
          <w:p w:rsidR="00E57D36" w:rsidRPr="003C2F68" w:rsidRDefault="00E57D36" w:rsidP="00E57D36">
            <w:pPr>
              <w:shd w:val="clear" w:color="auto" w:fill="FFFFFF" w:themeFill="background1"/>
              <w:jc w:val="both"/>
              <w:rPr>
                <w:rFonts w:ascii="Arial" w:eastAsia="Times New Roman" w:hAnsi="Arial" w:cs="Arial"/>
                <w:color w:val="000000"/>
                <w:lang w:eastAsia="es-ES"/>
              </w:rPr>
            </w:pPr>
          </w:p>
          <w:p w:rsidR="009E21F0" w:rsidRDefault="00E57D36" w:rsidP="00E57D36">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t>Los líderes de proyecto empezaron en el presente trimestre a reportar el avance a los planes de mejoramiento de programa e institucionales.</w:t>
            </w:r>
          </w:p>
          <w:p w:rsidR="00A62CF8" w:rsidRPr="00E57D36" w:rsidRDefault="00A62CF8" w:rsidP="00E57D36">
            <w:pPr>
              <w:shd w:val="clear" w:color="auto" w:fill="FFFFFF" w:themeFill="background1"/>
              <w:jc w:val="both"/>
              <w:rPr>
                <w:rFonts w:ascii="Arial" w:eastAsia="Times New Roman" w:hAnsi="Arial" w:cs="Arial"/>
                <w:bCs/>
                <w:color w:val="000000"/>
                <w:lang w:eastAsia="es-ES"/>
              </w:rPr>
            </w:pP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r w:rsidR="002A4DE4" w:rsidRPr="00156464" w:rsidTr="00C828C2">
        <w:tc>
          <w:tcPr>
            <w:tcW w:w="1844" w:type="dxa"/>
            <w:shd w:val="clear" w:color="auto" w:fill="BFBFBF" w:themeFill="background1" w:themeFillShade="BF"/>
            <w:vAlign w:val="center"/>
          </w:tcPr>
          <w:p w:rsidR="002A4DE4" w:rsidRPr="00156464" w:rsidRDefault="002A4DE4" w:rsidP="002A4DE4">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lastRenderedPageBreak/>
              <w:t xml:space="preserve">Acreditación de Alta Calidad </w:t>
            </w:r>
          </w:p>
        </w:tc>
        <w:tc>
          <w:tcPr>
            <w:tcW w:w="8505" w:type="dxa"/>
            <w:shd w:val="clear" w:color="auto" w:fill="auto"/>
          </w:tcPr>
          <w:p w:rsidR="002A4DE4" w:rsidRDefault="002A4DE4" w:rsidP="002A4DE4">
            <w:pPr>
              <w:tabs>
                <w:tab w:val="left" w:pos="3460"/>
              </w:tabs>
              <w:jc w:val="both"/>
              <w:rPr>
                <w:rFonts w:ascii="Swis721 Lt BT" w:eastAsia="Times New Roman" w:hAnsi="Swis721 Lt BT" w:cs="Times New Roman"/>
                <w:b/>
                <w:color w:val="FF0000"/>
                <w:sz w:val="24"/>
                <w:szCs w:val="24"/>
                <w:lang w:eastAsia="es-ES"/>
              </w:rPr>
            </w:pPr>
            <w:r>
              <w:rPr>
                <w:rFonts w:ascii="Swis721 Lt BT" w:eastAsia="Times New Roman" w:hAnsi="Swis721 Lt BT" w:cs="Times New Roman"/>
                <w:b/>
                <w:color w:val="FF0000"/>
                <w:sz w:val="24"/>
                <w:szCs w:val="24"/>
                <w:lang w:eastAsia="es-ES"/>
              </w:rPr>
              <w:t>PROYECTO 07: AUTOEVALUACIÓN Y AUTORREGULACIÓN PARA LA MEJORA PERMANENTE DE LA CALIDAD ACADÉMICA</w:t>
            </w:r>
          </w:p>
          <w:p w:rsidR="002A4DE4" w:rsidRDefault="002A4DE4" w:rsidP="002A4DE4">
            <w:pPr>
              <w:tabs>
                <w:tab w:val="left" w:pos="3460"/>
              </w:tabs>
              <w:jc w:val="both"/>
              <w:rPr>
                <w:rFonts w:ascii="Swis721 Lt BT" w:eastAsia="Times New Roman" w:hAnsi="Swis721 Lt BT" w:cs="Times New Roman"/>
                <w:b/>
                <w:sz w:val="24"/>
                <w:szCs w:val="24"/>
                <w:lang w:eastAsia="es-ES"/>
              </w:rPr>
            </w:pPr>
          </w:p>
          <w:p w:rsidR="002A4DE4" w:rsidRDefault="002A4DE4" w:rsidP="002A4DE4">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Acreditación Institucional:</w:t>
            </w:r>
            <w:r>
              <w:rPr>
                <w:rFonts w:ascii="Swis721 Lt BT" w:eastAsia="Times New Roman" w:hAnsi="Swis721 Lt BT" w:cs="Times New Roman"/>
                <w:sz w:val="24"/>
                <w:szCs w:val="24"/>
                <w:lang w:eastAsia="es-ES"/>
              </w:rPr>
              <w:t xml:space="preserve">  </w:t>
            </w:r>
          </w:p>
          <w:p w:rsidR="002A4DE4" w:rsidRDefault="002A4DE4" w:rsidP="002A4DE4">
            <w:pPr>
              <w:pStyle w:val="Prrafodelista"/>
              <w:numPr>
                <w:ilvl w:val="0"/>
                <w:numId w:val="9"/>
              </w:numPr>
              <w:tabs>
                <w:tab w:val="left" w:pos="3460"/>
              </w:tabs>
              <w:jc w:val="both"/>
              <w:rPr>
                <w:rFonts w:ascii="Swis721 Lt BT" w:hAnsi="Swis721 Lt BT"/>
              </w:rPr>
            </w:pPr>
            <w:r>
              <w:rPr>
                <w:rFonts w:ascii="Swis721 Lt BT" w:hAnsi="Swis721 Lt BT"/>
              </w:rPr>
              <w:t>Se cita en el 16 de febrero el Comité Seccional de Acreditación para el ejercicio de ponderación de factores y características.</w:t>
            </w:r>
          </w:p>
          <w:p w:rsidR="002A4DE4" w:rsidRDefault="002A4DE4" w:rsidP="002A4DE4">
            <w:pPr>
              <w:pStyle w:val="Prrafodelista"/>
              <w:numPr>
                <w:ilvl w:val="0"/>
                <w:numId w:val="9"/>
              </w:numPr>
              <w:tabs>
                <w:tab w:val="left" w:pos="3460"/>
              </w:tabs>
              <w:jc w:val="both"/>
              <w:rPr>
                <w:rFonts w:ascii="Swis721 Lt BT" w:hAnsi="Swis721 Lt BT"/>
              </w:rPr>
            </w:pPr>
            <w:r>
              <w:rPr>
                <w:rFonts w:ascii="Swis721 Lt BT" w:hAnsi="Swis721 Lt BT"/>
              </w:rPr>
              <w:t>En reunión del mes de marzo, se reestructuraron los equipos de trabajo de cada factor con sus respectivos líderes.</w:t>
            </w:r>
          </w:p>
          <w:p w:rsidR="002A4DE4" w:rsidRDefault="002A4DE4" w:rsidP="002A4DE4">
            <w:pPr>
              <w:pStyle w:val="Prrafodelista"/>
              <w:numPr>
                <w:ilvl w:val="0"/>
                <w:numId w:val="9"/>
              </w:numPr>
              <w:tabs>
                <w:tab w:val="left" w:pos="3460"/>
              </w:tabs>
              <w:jc w:val="both"/>
              <w:rPr>
                <w:rFonts w:ascii="Swis721 Lt BT" w:hAnsi="Swis721 Lt BT"/>
              </w:rPr>
            </w:pPr>
            <w:r>
              <w:rPr>
                <w:rFonts w:ascii="Swis721 Lt BT" w:hAnsi="Swis721 Lt BT"/>
              </w:rPr>
              <w:t>Se reinician las actividades del Comité de Mejora para la renovación de la acreditación institucional, cuyo objetivo es monitorear y orientar de manera permanente el proceso de autoevaluación y autorregulación</w:t>
            </w:r>
          </w:p>
          <w:p w:rsidR="002A4DE4" w:rsidRDefault="002A4DE4" w:rsidP="002A4DE4">
            <w:pPr>
              <w:pStyle w:val="Prrafodelista"/>
              <w:numPr>
                <w:ilvl w:val="0"/>
                <w:numId w:val="9"/>
              </w:numPr>
              <w:tabs>
                <w:tab w:val="left" w:pos="3460"/>
              </w:tabs>
              <w:jc w:val="both"/>
              <w:rPr>
                <w:rFonts w:ascii="Swis721 Lt BT" w:hAnsi="Swis721 Lt BT"/>
              </w:rPr>
            </w:pPr>
            <w:r>
              <w:rPr>
                <w:rFonts w:ascii="Swis721 Lt BT" w:hAnsi="Swis721 Lt BT"/>
              </w:rPr>
              <w:t>Los equipos de trabajo de los factores: 5 visibilidad nacional e internacional, 4 procesos académicos y 8 procesos de autoevaluación y autorregulación iniciaron las respectivas reuniones por factor, con el acompañamiento de Planeación y el equipo de Aseguramiento de Calidad Académica.</w:t>
            </w:r>
          </w:p>
          <w:p w:rsidR="002A4DE4" w:rsidRDefault="002A4DE4" w:rsidP="002A4DE4">
            <w:pPr>
              <w:pStyle w:val="Prrafodelista"/>
              <w:numPr>
                <w:ilvl w:val="0"/>
                <w:numId w:val="9"/>
              </w:numPr>
              <w:tabs>
                <w:tab w:val="left" w:pos="3460"/>
              </w:tabs>
              <w:jc w:val="both"/>
              <w:rPr>
                <w:rFonts w:ascii="Swis721 Lt BT" w:hAnsi="Swis721 Lt BT"/>
              </w:rPr>
            </w:pPr>
            <w:r>
              <w:rPr>
                <w:rFonts w:ascii="Swis721 Lt BT" w:hAnsi="Swis721 Lt BT"/>
                <w:color w:val="0070C0"/>
              </w:rPr>
              <w:t>Conjuntamente con la Dirección de Planeación Seccional y la Coordinación del SGC se elaboró el plan de mejoramiento Institucional- Seccional articulado a los programas y proyectos PIDI, base para la elaboración del presupuesto 2019</w:t>
            </w: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tabs>
                <w:tab w:val="left" w:pos="3460"/>
              </w:tabs>
              <w:jc w:val="both"/>
              <w:rPr>
                <w:rFonts w:ascii="Swis721 Lt BT" w:eastAsia="Times New Roman" w:hAnsi="Swis721 Lt BT" w:cs="Times New Roman"/>
                <w:b/>
                <w:color w:val="0070C0"/>
                <w:sz w:val="24"/>
                <w:szCs w:val="24"/>
                <w:lang w:eastAsia="es-ES"/>
              </w:rPr>
            </w:pPr>
            <w:r>
              <w:rPr>
                <w:rFonts w:ascii="Swis721 Lt BT" w:eastAsia="Times New Roman" w:hAnsi="Swis721 Lt BT" w:cs="Times New Roman"/>
                <w:b/>
                <w:sz w:val="24"/>
                <w:szCs w:val="24"/>
                <w:lang w:eastAsia="es-ES"/>
              </w:rPr>
              <w:t xml:space="preserve">Contaduría Pública: </w:t>
            </w:r>
            <w:r>
              <w:rPr>
                <w:rFonts w:ascii="Swis721 Lt BT" w:eastAsia="Times New Roman" w:hAnsi="Swis721 Lt BT" w:cs="Times New Roman"/>
                <w:sz w:val="24"/>
                <w:szCs w:val="24"/>
                <w:lang w:eastAsia="es-ES"/>
              </w:rPr>
              <w:t>Se recibió visita de Pares los días 4, 5 y 6 de abril de 2018. Se encuentra en espera de informe de los pares académicos</w:t>
            </w:r>
            <w:r>
              <w:rPr>
                <w:rFonts w:ascii="Swis721 Lt BT" w:eastAsia="Times New Roman" w:hAnsi="Swis721 Lt BT" w:cs="Times New Roman"/>
                <w:color w:val="0070C0"/>
                <w:sz w:val="24"/>
                <w:szCs w:val="24"/>
                <w:lang w:eastAsia="es-ES"/>
              </w:rPr>
              <w:t xml:space="preserve">. Conocido el informe de los pares, se hicieron los respectivos comentarios a través de plataforma SACES y se encuentra para </w:t>
            </w:r>
            <w:r>
              <w:rPr>
                <w:rFonts w:ascii="Swis721 Lt BT" w:eastAsia="Times New Roman" w:hAnsi="Swis721 Lt BT" w:cs="Times New Roman"/>
                <w:color w:val="0070C0"/>
                <w:sz w:val="24"/>
                <w:szCs w:val="24"/>
                <w:highlight w:val="yellow"/>
                <w:lang w:eastAsia="es-ES"/>
              </w:rPr>
              <w:t>ponencia de Consejero</w:t>
            </w:r>
            <w:r>
              <w:rPr>
                <w:rFonts w:ascii="Swis721 Lt BT" w:eastAsia="Times New Roman" w:hAnsi="Swis721 Lt BT" w:cs="Times New Roman"/>
                <w:color w:val="0070C0"/>
                <w:sz w:val="24"/>
                <w:szCs w:val="24"/>
                <w:lang w:eastAsia="es-ES"/>
              </w:rPr>
              <w:t xml:space="preserve"> </w:t>
            </w:r>
          </w:p>
          <w:p w:rsidR="002A4DE4" w:rsidRDefault="002A4DE4" w:rsidP="002A4DE4">
            <w:pPr>
              <w:tabs>
                <w:tab w:val="left" w:pos="3460"/>
              </w:tabs>
              <w:jc w:val="both"/>
              <w:rPr>
                <w:rFonts w:ascii="Swis721 Lt BT" w:eastAsia="Times New Roman" w:hAnsi="Swis721 Lt BT" w:cs="Times New Roman"/>
                <w:b/>
                <w:sz w:val="24"/>
                <w:szCs w:val="24"/>
                <w:lang w:eastAsia="es-ES"/>
              </w:rPr>
            </w:pPr>
          </w:p>
          <w:p w:rsidR="002A4DE4" w:rsidRDefault="002A4DE4" w:rsidP="002A4DE4">
            <w:pPr>
              <w:tabs>
                <w:tab w:val="left" w:pos="3460"/>
              </w:tabs>
              <w:jc w:val="both"/>
              <w:rPr>
                <w:rFonts w:ascii="Swis721 Lt BT" w:eastAsia="Times New Roman" w:hAnsi="Swis721 Lt BT" w:cs="Times New Roman"/>
                <w:b/>
                <w:color w:val="0070C0"/>
                <w:sz w:val="24"/>
                <w:szCs w:val="24"/>
                <w:lang w:eastAsia="es-ES"/>
              </w:rPr>
            </w:pPr>
            <w:r>
              <w:rPr>
                <w:rFonts w:ascii="Swis721 Lt BT" w:eastAsia="Times New Roman" w:hAnsi="Swis721 Lt BT" w:cs="Times New Roman"/>
                <w:b/>
                <w:sz w:val="24"/>
                <w:szCs w:val="24"/>
                <w:lang w:eastAsia="es-ES"/>
              </w:rPr>
              <w:t>Ingeniería Civil</w:t>
            </w:r>
            <w:r>
              <w:rPr>
                <w:rFonts w:ascii="Swis721 Lt BT" w:eastAsia="Times New Roman" w:hAnsi="Swis721 Lt BT" w:cs="Times New Roman"/>
                <w:sz w:val="24"/>
                <w:szCs w:val="24"/>
                <w:lang w:eastAsia="es-ES"/>
              </w:rPr>
              <w:t xml:space="preserve">: Se recibió visita de pares académicos 15 y 16 de marzo, Pendiente informe de pares académicos. </w:t>
            </w:r>
            <w:r>
              <w:rPr>
                <w:rFonts w:ascii="Swis721 Lt BT" w:eastAsia="Times New Roman" w:hAnsi="Swis721 Lt BT" w:cs="Times New Roman"/>
                <w:color w:val="0070C0"/>
                <w:sz w:val="24"/>
                <w:szCs w:val="24"/>
                <w:lang w:eastAsia="es-ES"/>
              </w:rPr>
              <w:t xml:space="preserve">Conocido el informe de los pares, se hicieron los respectivos comentarios a través de plataforma SACES y se encuentra para </w:t>
            </w:r>
            <w:r>
              <w:rPr>
                <w:rFonts w:ascii="Swis721 Lt BT" w:eastAsia="Times New Roman" w:hAnsi="Swis721 Lt BT" w:cs="Times New Roman"/>
                <w:color w:val="0070C0"/>
                <w:sz w:val="24"/>
                <w:szCs w:val="24"/>
                <w:highlight w:val="yellow"/>
                <w:lang w:eastAsia="es-ES"/>
              </w:rPr>
              <w:t>ponencia de Consejero</w:t>
            </w:r>
            <w:r>
              <w:rPr>
                <w:rFonts w:ascii="Swis721 Lt BT" w:eastAsia="Times New Roman" w:hAnsi="Swis721 Lt BT" w:cs="Times New Roman"/>
                <w:color w:val="0070C0"/>
                <w:sz w:val="24"/>
                <w:szCs w:val="24"/>
                <w:lang w:eastAsia="es-ES"/>
              </w:rPr>
              <w:t xml:space="preserve"> </w:t>
            </w: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tabs>
                <w:tab w:val="left" w:pos="3460"/>
              </w:tabs>
              <w:jc w:val="both"/>
              <w:rPr>
                <w:rFonts w:ascii="Swis721 Lt BT" w:eastAsia="Times New Roman" w:hAnsi="Swis721 Lt BT" w:cs="Times New Roman"/>
                <w:b/>
                <w:color w:val="0070C0"/>
                <w:sz w:val="24"/>
                <w:szCs w:val="24"/>
                <w:lang w:eastAsia="es-ES"/>
              </w:rPr>
            </w:pPr>
            <w:r>
              <w:rPr>
                <w:rFonts w:ascii="Swis721 Lt BT" w:eastAsia="Times New Roman" w:hAnsi="Swis721 Lt BT" w:cs="Times New Roman"/>
                <w:b/>
                <w:sz w:val="24"/>
                <w:szCs w:val="24"/>
                <w:lang w:eastAsia="es-ES"/>
              </w:rPr>
              <w:t>Ingeniería Comercial</w:t>
            </w:r>
            <w:r>
              <w:rPr>
                <w:rFonts w:ascii="Swis721 Lt BT" w:eastAsia="Times New Roman" w:hAnsi="Swis721 Lt BT" w:cs="Times New Roman"/>
                <w:sz w:val="24"/>
                <w:szCs w:val="24"/>
                <w:lang w:eastAsia="es-ES"/>
              </w:rPr>
              <w:t xml:space="preserve">: Se recibió visita de Pares los días 4, 5 y 6 de abril de 2018. Se encuentra en espera de informe de los Pares académicos. </w:t>
            </w:r>
            <w:r>
              <w:rPr>
                <w:rFonts w:ascii="Swis721 Lt BT" w:eastAsia="Times New Roman" w:hAnsi="Swis721 Lt BT" w:cs="Times New Roman"/>
                <w:color w:val="0070C0"/>
                <w:sz w:val="24"/>
                <w:szCs w:val="24"/>
                <w:lang w:eastAsia="es-ES"/>
              </w:rPr>
              <w:t xml:space="preserve">Conocido el informe de los pares, se hicieron los respectivos comentarios a través de plataforma SACES y se encuentra para </w:t>
            </w:r>
            <w:r>
              <w:rPr>
                <w:rFonts w:ascii="Swis721 Lt BT" w:eastAsia="Times New Roman" w:hAnsi="Swis721 Lt BT" w:cs="Times New Roman"/>
                <w:color w:val="0070C0"/>
                <w:sz w:val="24"/>
                <w:szCs w:val="24"/>
                <w:highlight w:val="yellow"/>
                <w:lang w:eastAsia="es-ES"/>
              </w:rPr>
              <w:t>ponencia de Consejero</w:t>
            </w:r>
            <w:r>
              <w:rPr>
                <w:rFonts w:ascii="Swis721 Lt BT" w:eastAsia="Times New Roman" w:hAnsi="Swis721 Lt BT" w:cs="Times New Roman"/>
                <w:color w:val="0070C0"/>
                <w:sz w:val="24"/>
                <w:szCs w:val="24"/>
                <w:lang w:eastAsia="es-ES"/>
              </w:rPr>
              <w:t xml:space="preserve"> </w:t>
            </w: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tabs>
                <w:tab w:val="left" w:pos="3460"/>
              </w:tabs>
              <w:jc w:val="both"/>
              <w:rPr>
                <w:rFonts w:ascii="Swis721 Lt BT" w:eastAsia="Times New Roman" w:hAnsi="Swis721 Lt BT" w:cs="Times New Roman"/>
                <w:b/>
                <w:sz w:val="24"/>
                <w:szCs w:val="24"/>
                <w:lang w:eastAsia="es-ES"/>
              </w:rPr>
            </w:pPr>
          </w:p>
          <w:p w:rsidR="002A4DE4" w:rsidRDefault="002A4DE4" w:rsidP="002A4DE4">
            <w:pPr>
              <w:tabs>
                <w:tab w:val="left" w:pos="3460"/>
              </w:tabs>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Derecho: S</w:t>
            </w:r>
            <w:r>
              <w:rPr>
                <w:rFonts w:ascii="Swis721 Lt BT" w:eastAsia="Times New Roman" w:hAnsi="Swis721 Lt BT" w:cs="Times New Roman"/>
                <w:sz w:val="24"/>
                <w:szCs w:val="24"/>
                <w:lang w:eastAsia="es-ES"/>
              </w:rPr>
              <w:t xml:space="preserve">e encuentra en proceso de autoevaluación y autorregulación con fines de la segunda renovación de acreditación. Actividades: </w:t>
            </w:r>
          </w:p>
          <w:p w:rsidR="002A4DE4" w:rsidRDefault="002A4DE4" w:rsidP="002A4DE4">
            <w:pPr>
              <w:pStyle w:val="Prrafodelista"/>
              <w:numPr>
                <w:ilvl w:val="0"/>
                <w:numId w:val="10"/>
              </w:numPr>
              <w:tabs>
                <w:tab w:val="left" w:pos="3460"/>
              </w:tabs>
              <w:jc w:val="both"/>
              <w:rPr>
                <w:rFonts w:ascii="Swis721 Lt BT" w:hAnsi="Swis721 Lt BT"/>
                <w:b/>
              </w:rPr>
            </w:pPr>
            <w:r>
              <w:rPr>
                <w:rFonts w:ascii="Swis721 Lt BT" w:hAnsi="Swis721 Lt BT"/>
              </w:rPr>
              <w:t>Se realizó en mayo 10 de 2017 el taller de ponderación de factores y característica.</w:t>
            </w:r>
          </w:p>
          <w:p w:rsidR="002A4DE4" w:rsidRDefault="002A4DE4" w:rsidP="002A4DE4">
            <w:pPr>
              <w:pStyle w:val="Prrafodelista"/>
              <w:numPr>
                <w:ilvl w:val="0"/>
                <w:numId w:val="10"/>
              </w:numPr>
              <w:tabs>
                <w:tab w:val="left" w:pos="3460"/>
              </w:tabs>
              <w:jc w:val="both"/>
              <w:rPr>
                <w:rFonts w:ascii="Swis721 Lt BT" w:hAnsi="Swis721 Lt BT"/>
                <w:b/>
              </w:rPr>
            </w:pPr>
            <w:r>
              <w:rPr>
                <w:rFonts w:ascii="Swis721 Lt BT" w:hAnsi="Swis721 Lt BT"/>
              </w:rPr>
              <w:t>En el mes de junio de 2017, se llevó a cabo reunión en la que se expusieron análisis sobre las nuevas tendencias de la disciplina y las nuevas competencias a formar en los abogados del S. XXI.</w:t>
            </w:r>
          </w:p>
          <w:p w:rsidR="002A4DE4" w:rsidRDefault="002A4DE4" w:rsidP="002A4DE4">
            <w:pPr>
              <w:pStyle w:val="Prrafodelista"/>
              <w:numPr>
                <w:ilvl w:val="0"/>
                <w:numId w:val="10"/>
              </w:numPr>
              <w:tabs>
                <w:tab w:val="left" w:pos="3460"/>
              </w:tabs>
              <w:jc w:val="both"/>
              <w:rPr>
                <w:rFonts w:ascii="Swis721 Lt BT" w:hAnsi="Swis721 Lt BT"/>
                <w:b/>
              </w:rPr>
            </w:pPr>
            <w:r>
              <w:rPr>
                <w:rFonts w:ascii="Swis721 Lt BT" w:hAnsi="Swis721 Lt BT"/>
              </w:rPr>
              <w:t>Se diligenció una primera matriz sobre recolección de información por parte de cada equipo de trabajo</w:t>
            </w:r>
          </w:p>
          <w:p w:rsidR="002A4DE4" w:rsidRDefault="002A4DE4" w:rsidP="002A4DE4">
            <w:pPr>
              <w:pStyle w:val="Prrafodelista"/>
              <w:numPr>
                <w:ilvl w:val="0"/>
                <w:numId w:val="10"/>
              </w:numPr>
              <w:tabs>
                <w:tab w:val="left" w:pos="3460"/>
              </w:tabs>
              <w:jc w:val="both"/>
              <w:rPr>
                <w:rFonts w:ascii="Swis721 Lt BT" w:hAnsi="Swis721 Lt BT"/>
                <w:b/>
              </w:rPr>
            </w:pPr>
            <w:r>
              <w:rPr>
                <w:rFonts w:ascii="Swis721 Lt BT" w:hAnsi="Swis721 Lt BT"/>
              </w:rPr>
              <w:t>Se estableció como día de reuniones regulares los martes a las 4:00 p.m.</w:t>
            </w:r>
          </w:p>
          <w:p w:rsidR="002A4DE4" w:rsidRDefault="002A4DE4" w:rsidP="002A4DE4">
            <w:pPr>
              <w:pStyle w:val="Prrafodelista"/>
              <w:numPr>
                <w:ilvl w:val="0"/>
                <w:numId w:val="10"/>
              </w:numPr>
              <w:tabs>
                <w:tab w:val="left" w:pos="3460"/>
              </w:tabs>
              <w:jc w:val="both"/>
              <w:rPr>
                <w:rFonts w:ascii="Swis721 Lt BT" w:hAnsi="Swis721 Lt BT"/>
                <w:b/>
              </w:rPr>
            </w:pPr>
            <w:r>
              <w:rPr>
                <w:rFonts w:ascii="Swis721 Lt BT" w:hAnsi="Swis721 Lt BT"/>
              </w:rPr>
              <w:t>Con la asesoría de la coordinación del SGC y aseguramiento de la calidad académica, se da inicio al proceso de organización de los grupos focales.</w:t>
            </w:r>
          </w:p>
          <w:p w:rsidR="002A4DE4" w:rsidRDefault="002A4DE4" w:rsidP="002A4DE4">
            <w:pPr>
              <w:pStyle w:val="Prrafodelista"/>
              <w:numPr>
                <w:ilvl w:val="0"/>
                <w:numId w:val="10"/>
              </w:numPr>
              <w:tabs>
                <w:tab w:val="left" w:pos="3460"/>
              </w:tabs>
              <w:jc w:val="both"/>
              <w:rPr>
                <w:rFonts w:ascii="Swis721 Lt BT" w:hAnsi="Swis721 Lt BT"/>
                <w:b/>
              </w:rPr>
            </w:pPr>
            <w:r>
              <w:rPr>
                <w:rFonts w:ascii="Swis721 Lt BT" w:hAnsi="Swis721 Lt BT"/>
                <w:color w:val="0070C0"/>
              </w:rPr>
              <w:t xml:space="preserve">Concluido el proceso de autoevaluación, se envió documento borrador para revisión a la Dirección Nacional de Aseguramiento de la Calidad.  </w:t>
            </w:r>
            <w:r>
              <w:rPr>
                <w:rFonts w:ascii="Swis721 Lt BT" w:hAnsi="Swis721 Lt BT"/>
              </w:rPr>
              <w:t xml:space="preserve">  </w:t>
            </w:r>
            <w:r>
              <w:rPr>
                <w:rFonts w:ascii="Swis721 Lt BT" w:hAnsi="Swis721 Lt BT"/>
                <w:b/>
              </w:rPr>
              <w:t xml:space="preserve"> </w:t>
            </w: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tabs>
                <w:tab w:val="left" w:pos="3460"/>
              </w:tabs>
              <w:jc w:val="both"/>
              <w:rPr>
                <w:rFonts w:ascii="Swis721 Lt BT" w:eastAsia="Times New Roman" w:hAnsi="Swis721 Lt BT" w:cs="Times New Roman"/>
                <w:color w:val="0070C0"/>
                <w:sz w:val="24"/>
                <w:szCs w:val="24"/>
                <w:lang w:eastAsia="es-ES"/>
              </w:rPr>
            </w:pPr>
            <w:r>
              <w:rPr>
                <w:rFonts w:ascii="Swis721 Lt BT" w:eastAsia="Times New Roman" w:hAnsi="Swis721 Lt BT" w:cs="Times New Roman"/>
                <w:b/>
                <w:sz w:val="24"/>
                <w:szCs w:val="24"/>
                <w:lang w:eastAsia="es-ES"/>
              </w:rPr>
              <w:t xml:space="preserve">Trabajo social: </w:t>
            </w:r>
            <w:r>
              <w:rPr>
                <w:rFonts w:ascii="Swis721 Lt BT" w:eastAsia="Times New Roman" w:hAnsi="Swis721 Lt BT" w:cs="Times New Roman"/>
                <w:sz w:val="24"/>
                <w:szCs w:val="24"/>
                <w:lang w:eastAsia="es-ES"/>
              </w:rPr>
              <w:t xml:space="preserve">Concluyó la autoevaluación del momento 1 de renovación de registro calificado, Se encuentra realizando talleres de análisis de factores de calidad a fin consolidar los elementos que le permitan concluir que tiene las condiciones de calidad para presentarse a la acreditación en alta calidad. </w:t>
            </w:r>
            <w:r>
              <w:rPr>
                <w:rFonts w:ascii="Swis721 Lt BT" w:eastAsia="Times New Roman" w:hAnsi="Swis721 Lt BT" w:cs="Times New Roman"/>
                <w:color w:val="0070C0"/>
                <w:sz w:val="24"/>
                <w:szCs w:val="24"/>
                <w:lang w:eastAsia="es-ES"/>
              </w:rPr>
              <w:t xml:space="preserve">El programa continúa en autoevaluación momento 2 con miras a fortalecerse en sus condiciones de calidad y seguir la meta de acreditarse. </w:t>
            </w: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tabs>
                <w:tab w:val="left" w:pos="3460"/>
              </w:tabs>
              <w:jc w:val="both"/>
              <w:rPr>
                <w:rFonts w:ascii="Swis721 Lt BT" w:eastAsia="Times New Roman" w:hAnsi="Swis721 Lt BT" w:cs="Times New Roman"/>
                <w:b/>
                <w:color w:val="0070C0"/>
                <w:sz w:val="24"/>
                <w:szCs w:val="24"/>
                <w:lang w:eastAsia="es-ES"/>
              </w:rPr>
            </w:pPr>
            <w:r>
              <w:rPr>
                <w:rFonts w:ascii="Swis721 Lt BT" w:eastAsia="Times New Roman" w:hAnsi="Swis721 Lt BT" w:cs="Times New Roman"/>
                <w:b/>
                <w:sz w:val="24"/>
                <w:szCs w:val="24"/>
                <w:lang w:eastAsia="es-ES"/>
              </w:rPr>
              <w:t xml:space="preserve">Ingeniería Financiera: </w:t>
            </w:r>
            <w:r>
              <w:rPr>
                <w:rFonts w:ascii="Swis721 Lt BT" w:eastAsia="Times New Roman" w:hAnsi="Swis721 Lt BT" w:cs="Times New Roman"/>
                <w:sz w:val="24"/>
                <w:szCs w:val="24"/>
                <w:lang w:eastAsia="es-ES"/>
              </w:rPr>
              <w:t>Concluyó el momento 2 de autoevaluación con fines de renovación de registro calificado; se encuentra redactado el documento maestro y en estudio de Planeación Seccional. Se tiene un plan de mejoramiento concretamente en los factores de investigación y visibilidad nacional e internacional. Se busca concentrar esfuerzos en lograr la categorización del grupo de investigación: Ingeniería Financiera para presentarse a la acreditación.</w:t>
            </w:r>
            <w:r>
              <w:rPr>
                <w:rFonts w:ascii="Swis721 Lt BT" w:eastAsia="Times New Roman" w:hAnsi="Swis721 Lt BT" w:cs="Times New Roman"/>
                <w:color w:val="0070C0"/>
                <w:sz w:val="24"/>
                <w:szCs w:val="24"/>
                <w:lang w:eastAsia="es-ES"/>
              </w:rPr>
              <w:t xml:space="preserve"> El documento maestro de renovación de registro calificado se encuentra en Planeación Seccional para ser subido a plataforma SACES. </w:t>
            </w:r>
          </w:p>
          <w:p w:rsidR="002A4DE4" w:rsidRDefault="002A4DE4" w:rsidP="002A4DE4">
            <w:pPr>
              <w:tabs>
                <w:tab w:val="left" w:pos="3460"/>
              </w:tabs>
              <w:jc w:val="both"/>
              <w:rPr>
                <w:rFonts w:ascii="Swis721 Lt BT" w:eastAsia="Times New Roman" w:hAnsi="Swis721 Lt BT" w:cs="Times New Roman"/>
                <w:b/>
                <w:sz w:val="24"/>
                <w:szCs w:val="24"/>
                <w:lang w:eastAsia="es-ES"/>
              </w:rPr>
            </w:pPr>
          </w:p>
          <w:p w:rsidR="002A4DE4" w:rsidRDefault="002A4DE4" w:rsidP="002A4DE4">
            <w:pPr>
              <w:tabs>
                <w:tab w:val="left" w:pos="3460"/>
              </w:tabs>
              <w:jc w:val="both"/>
              <w:rPr>
                <w:rFonts w:ascii="Swis721 Lt BT" w:eastAsia="Times New Roman" w:hAnsi="Swis721 Lt BT" w:cs="Times New Roman"/>
                <w:color w:val="0070C0"/>
                <w:sz w:val="24"/>
                <w:szCs w:val="24"/>
                <w:lang w:eastAsia="es-ES"/>
              </w:rPr>
            </w:pPr>
            <w:r>
              <w:rPr>
                <w:rFonts w:ascii="Swis721 Lt BT" w:eastAsia="Times New Roman" w:hAnsi="Swis721 Lt BT" w:cs="Times New Roman"/>
                <w:b/>
                <w:sz w:val="24"/>
                <w:szCs w:val="24"/>
                <w:lang w:eastAsia="es-ES"/>
              </w:rPr>
              <w:t xml:space="preserve">Ingeniería de Sistemas: </w:t>
            </w:r>
            <w:r>
              <w:rPr>
                <w:rFonts w:ascii="Swis721 Lt BT" w:eastAsia="Times New Roman" w:hAnsi="Swis721 Lt BT" w:cs="Times New Roman"/>
                <w:sz w:val="24"/>
                <w:szCs w:val="24"/>
                <w:lang w:eastAsia="es-ES"/>
              </w:rPr>
              <w:t>Para asegurar un buen trabajo de autoevaluación hacia la acreditación de este programa se requiere lograr la categorización de su grupo de investigación: OBELIX; igual incrementar la movilidad nacional e internacional</w:t>
            </w:r>
            <w:r>
              <w:rPr>
                <w:rFonts w:ascii="Swis721 Lt BT" w:eastAsia="Times New Roman" w:hAnsi="Swis721 Lt BT" w:cs="Times New Roman"/>
                <w:b/>
                <w:sz w:val="24"/>
                <w:szCs w:val="24"/>
                <w:lang w:eastAsia="es-ES"/>
              </w:rPr>
              <w:t xml:space="preserve">. </w:t>
            </w:r>
            <w:r>
              <w:rPr>
                <w:rFonts w:ascii="Swis721 Lt BT" w:eastAsia="Times New Roman" w:hAnsi="Swis721 Lt BT" w:cs="Times New Roman"/>
                <w:color w:val="0070C0"/>
                <w:sz w:val="24"/>
                <w:szCs w:val="24"/>
                <w:lang w:eastAsia="es-ES"/>
              </w:rPr>
              <w:t xml:space="preserve">El </w:t>
            </w:r>
            <w:r>
              <w:rPr>
                <w:rFonts w:ascii="Swis721 Lt BT" w:eastAsia="Times New Roman" w:hAnsi="Swis721 Lt BT" w:cs="Times New Roman"/>
                <w:color w:val="0070C0"/>
                <w:sz w:val="24"/>
                <w:szCs w:val="24"/>
                <w:lang w:eastAsia="es-ES"/>
              </w:rPr>
              <w:lastRenderedPageBreak/>
              <w:t xml:space="preserve">programa </w:t>
            </w:r>
            <w:proofErr w:type="gramStart"/>
            <w:r>
              <w:rPr>
                <w:rFonts w:ascii="Swis721 Lt BT" w:eastAsia="Times New Roman" w:hAnsi="Swis721 Lt BT" w:cs="Times New Roman"/>
                <w:color w:val="0070C0"/>
                <w:sz w:val="24"/>
                <w:szCs w:val="24"/>
                <w:lang w:eastAsia="es-ES"/>
              </w:rPr>
              <w:t>continua</w:t>
            </w:r>
            <w:proofErr w:type="gramEnd"/>
            <w:r>
              <w:rPr>
                <w:rFonts w:ascii="Swis721 Lt BT" w:eastAsia="Times New Roman" w:hAnsi="Swis721 Lt BT" w:cs="Times New Roman"/>
                <w:color w:val="0070C0"/>
                <w:sz w:val="24"/>
                <w:szCs w:val="24"/>
                <w:lang w:eastAsia="es-ES"/>
              </w:rPr>
              <w:t xml:space="preserve"> avanzando en su plan de mejoramiento con el fin de fortalecer la investigación y su visibilidad nacional e internacional</w:t>
            </w:r>
          </w:p>
          <w:p w:rsidR="00FF0F31" w:rsidRDefault="00FF0F31" w:rsidP="002A4DE4">
            <w:pPr>
              <w:tabs>
                <w:tab w:val="left" w:pos="3460"/>
              </w:tabs>
              <w:jc w:val="both"/>
              <w:rPr>
                <w:rFonts w:ascii="Swis721 Lt BT" w:eastAsia="Times New Roman" w:hAnsi="Swis721 Lt BT" w:cs="Times New Roman"/>
                <w:b/>
                <w:color w:val="0070C0"/>
                <w:sz w:val="24"/>
                <w:szCs w:val="24"/>
                <w:highlight w:val="yellow"/>
                <w:lang w:eastAsia="es-ES"/>
              </w:rPr>
            </w:pPr>
            <w:bookmarkStart w:id="0" w:name="_GoBack"/>
            <w:bookmarkEnd w:id="0"/>
          </w:p>
        </w:tc>
      </w:tr>
      <w:tr w:rsidR="002A4DE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2A4DE4" w:rsidRPr="00156464" w:rsidRDefault="002A4DE4" w:rsidP="002A4DE4">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2A4DE4" w:rsidRDefault="002A4DE4" w:rsidP="002A4DE4">
            <w:pPr>
              <w:jc w:val="both"/>
              <w:rPr>
                <w:rFonts w:ascii="Swis721 Lt BT" w:eastAsia="Times New Roman" w:hAnsi="Swis721 Lt BT" w:cs="Times New Roman"/>
                <w:sz w:val="24"/>
                <w:szCs w:val="24"/>
                <w:highlight w:val="yellow"/>
                <w:lang w:eastAsia="es-ES"/>
              </w:rPr>
            </w:pPr>
          </w:p>
        </w:tc>
      </w:tr>
      <w:tr w:rsidR="002A4DE4" w:rsidRPr="00156464" w:rsidTr="000C4563">
        <w:tc>
          <w:tcPr>
            <w:tcW w:w="1844" w:type="dxa"/>
            <w:shd w:val="clear" w:color="auto" w:fill="BFBFBF" w:themeFill="background1" w:themeFillShade="BF"/>
            <w:vAlign w:val="center"/>
          </w:tcPr>
          <w:p w:rsidR="002A4DE4" w:rsidRPr="00156464" w:rsidRDefault="002A4DE4" w:rsidP="002A4DE4">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Aseguramiento de la Calidad Académica</w:t>
            </w:r>
          </w:p>
        </w:tc>
        <w:tc>
          <w:tcPr>
            <w:tcW w:w="8505" w:type="dxa"/>
          </w:tcPr>
          <w:p w:rsidR="00FF0F31" w:rsidRDefault="00FF0F31" w:rsidP="002A4DE4">
            <w:pPr>
              <w:ind w:right="71"/>
              <w:jc w:val="both"/>
              <w:rPr>
                <w:rFonts w:ascii="Swis721 Lt BT" w:eastAsia="Times New Roman" w:hAnsi="Swis721 Lt BT" w:cs="Times New Roman"/>
                <w:b/>
                <w:color w:val="FF0000"/>
                <w:sz w:val="24"/>
                <w:szCs w:val="24"/>
                <w:lang w:eastAsia="es-ES"/>
              </w:rPr>
            </w:pPr>
          </w:p>
          <w:p w:rsidR="002A4DE4" w:rsidRDefault="002A4DE4" w:rsidP="002A4DE4">
            <w:pPr>
              <w:ind w:right="71"/>
              <w:jc w:val="both"/>
              <w:rPr>
                <w:rFonts w:ascii="Arial" w:eastAsia="Arial" w:hAnsi="Arial" w:cs="Arial"/>
                <w:b/>
                <w:color w:val="FF0000"/>
                <w:sz w:val="24"/>
                <w:szCs w:val="24"/>
              </w:rPr>
            </w:pPr>
            <w:r>
              <w:rPr>
                <w:rFonts w:ascii="Swis721 Lt BT" w:eastAsia="Times New Roman" w:hAnsi="Swis721 Lt BT" w:cs="Times New Roman"/>
                <w:b/>
                <w:color w:val="FF0000"/>
                <w:sz w:val="24"/>
                <w:szCs w:val="24"/>
                <w:lang w:eastAsia="es-ES"/>
              </w:rPr>
              <w:t xml:space="preserve">PROYECTO1:  </w:t>
            </w:r>
            <w:r>
              <w:rPr>
                <w:rFonts w:ascii="Arial" w:eastAsia="Arial" w:hAnsi="Arial" w:cs="Arial"/>
                <w:b/>
                <w:color w:val="FF0000"/>
                <w:sz w:val="24"/>
                <w:szCs w:val="24"/>
              </w:rPr>
              <w:t>RACIONALIZACIÓN</w:t>
            </w:r>
            <w:r>
              <w:rPr>
                <w:rFonts w:ascii="Arial" w:eastAsia="Arial" w:hAnsi="Arial" w:cs="Arial"/>
                <w:b/>
                <w:color w:val="FF0000"/>
                <w:spacing w:val="37"/>
                <w:sz w:val="24"/>
                <w:szCs w:val="24"/>
              </w:rPr>
              <w:t xml:space="preserve"> </w:t>
            </w:r>
            <w:r>
              <w:rPr>
                <w:rFonts w:ascii="Arial" w:eastAsia="Arial" w:hAnsi="Arial" w:cs="Arial"/>
                <w:b/>
                <w:color w:val="FF0000"/>
                <w:sz w:val="24"/>
                <w:szCs w:val="24"/>
              </w:rPr>
              <w:t>Y</w:t>
            </w:r>
            <w:r>
              <w:rPr>
                <w:rFonts w:ascii="Arial" w:eastAsia="Arial" w:hAnsi="Arial" w:cs="Arial"/>
                <w:b/>
                <w:color w:val="FF0000"/>
                <w:spacing w:val="20"/>
                <w:sz w:val="24"/>
                <w:szCs w:val="24"/>
              </w:rPr>
              <w:t xml:space="preserve"> </w:t>
            </w:r>
            <w:r>
              <w:rPr>
                <w:rFonts w:ascii="Arial" w:eastAsia="Arial" w:hAnsi="Arial" w:cs="Arial"/>
                <w:b/>
                <w:color w:val="FF0000"/>
                <w:sz w:val="24"/>
                <w:szCs w:val="24"/>
              </w:rPr>
              <w:t>AMPLIACIÓN</w:t>
            </w:r>
            <w:r>
              <w:rPr>
                <w:rFonts w:ascii="Arial" w:eastAsia="Arial" w:hAnsi="Arial" w:cs="Arial"/>
                <w:b/>
                <w:color w:val="FF0000"/>
                <w:spacing w:val="23"/>
                <w:sz w:val="24"/>
                <w:szCs w:val="24"/>
              </w:rPr>
              <w:t xml:space="preserve"> </w:t>
            </w:r>
            <w:r>
              <w:rPr>
                <w:rFonts w:ascii="Arial" w:eastAsia="Arial" w:hAnsi="Arial" w:cs="Arial"/>
                <w:b/>
                <w:color w:val="FF0000"/>
                <w:sz w:val="24"/>
                <w:szCs w:val="24"/>
              </w:rPr>
              <w:t>DE</w:t>
            </w:r>
            <w:r>
              <w:rPr>
                <w:rFonts w:ascii="Arial" w:eastAsia="Arial" w:hAnsi="Arial" w:cs="Arial"/>
                <w:b/>
                <w:color w:val="FF0000"/>
                <w:spacing w:val="33"/>
                <w:sz w:val="24"/>
                <w:szCs w:val="24"/>
              </w:rPr>
              <w:t xml:space="preserve"> </w:t>
            </w:r>
            <w:r>
              <w:rPr>
                <w:rFonts w:ascii="Arial" w:eastAsia="Arial" w:hAnsi="Arial" w:cs="Arial"/>
                <w:b/>
                <w:color w:val="FF0000"/>
                <w:sz w:val="24"/>
                <w:szCs w:val="24"/>
              </w:rPr>
              <w:t>LA</w:t>
            </w:r>
            <w:r>
              <w:rPr>
                <w:rFonts w:ascii="Arial" w:eastAsia="Arial" w:hAnsi="Arial" w:cs="Arial"/>
                <w:b/>
                <w:color w:val="FF0000"/>
                <w:spacing w:val="42"/>
                <w:sz w:val="24"/>
                <w:szCs w:val="24"/>
              </w:rPr>
              <w:t xml:space="preserve"> </w:t>
            </w:r>
            <w:r>
              <w:rPr>
                <w:rFonts w:ascii="Arial" w:eastAsia="Arial" w:hAnsi="Arial" w:cs="Arial"/>
                <w:b/>
                <w:color w:val="FF0000"/>
                <w:sz w:val="24"/>
                <w:szCs w:val="24"/>
              </w:rPr>
              <w:t>COBERTURA</w:t>
            </w:r>
            <w:r>
              <w:rPr>
                <w:rFonts w:ascii="Arial" w:eastAsia="Arial" w:hAnsi="Arial" w:cs="Arial"/>
                <w:b/>
                <w:color w:val="FF0000"/>
                <w:spacing w:val="22"/>
                <w:sz w:val="24"/>
                <w:szCs w:val="24"/>
              </w:rPr>
              <w:t xml:space="preserve"> </w:t>
            </w:r>
            <w:r>
              <w:rPr>
                <w:rFonts w:ascii="Arial" w:eastAsia="Arial" w:hAnsi="Arial" w:cs="Arial"/>
                <w:b/>
                <w:color w:val="FF0000"/>
                <w:sz w:val="24"/>
                <w:szCs w:val="24"/>
              </w:rPr>
              <w:t>DE</w:t>
            </w:r>
            <w:r>
              <w:rPr>
                <w:rFonts w:ascii="Arial" w:eastAsia="Arial" w:hAnsi="Arial" w:cs="Arial"/>
                <w:b/>
                <w:color w:val="FF0000"/>
                <w:spacing w:val="31"/>
                <w:sz w:val="24"/>
                <w:szCs w:val="24"/>
              </w:rPr>
              <w:t xml:space="preserve"> </w:t>
            </w:r>
            <w:r>
              <w:rPr>
                <w:rFonts w:ascii="Arial" w:eastAsia="Arial" w:hAnsi="Arial" w:cs="Arial"/>
                <w:b/>
                <w:color w:val="FF0000"/>
                <w:sz w:val="24"/>
                <w:szCs w:val="24"/>
              </w:rPr>
              <w:t>PROGRAMAS</w:t>
            </w:r>
            <w:r>
              <w:rPr>
                <w:rFonts w:ascii="Arial" w:eastAsia="Arial" w:hAnsi="Arial" w:cs="Arial"/>
                <w:b/>
                <w:color w:val="FF0000"/>
                <w:spacing w:val="31"/>
                <w:sz w:val="24"/>
                <w:szCs w:val="24"/>
              </w:rPr>
              <w:t xml:space="preserve"> </w:t>
            </w:r>
            <w:r>
              <w:rPr>
                <w:rFonts w:ascii="Arial" w:eastAsia="Arial" w:hAnsi="Arial" w:cs="Arial"/>
                <w:b/>
                <w:color w:val="FF0000"/>
                <w:w w:val="104"/>
                <w:sz w:val="24"/>
                <w:szCs w:val="24"/>
              </w:rPr>
              <w:t xml:space="preserve">DE </w:t>
            </w:r>
            <w:r>
              <w:rPr>
                <w:rFonts w:ascii="Arial" w:eastAsia="Arial" w:hAnsi="Arial" w:cs="Arial"/>
                <w:b/>
                <w:color w:val="FF0000"/>
                <w:sz w:val="24"/>
                <w:szCs w:val="24"/>
              </w:rPr>
              <w:t>PREGRADO</w:t>
            </w:r>
            <w:r>
              <w:rPr>
                <w:rFonts w:ascii="Arial" w:eastAsia="Arial" w:hAnsi="Arial" w:cs="Arial"/>
                <w:b/>
                <w:color w:val="FF0000"/>
                <w:spacing w:val="7"/>
                <w:sz w:val="24"/>
                <w:szCs w:val="24"/>
              </w:rPr>
              <w:t xml:space="preserve"> </w:t>
            </w:r>
            <w:r>
              <w:rPr>
                <w:rFonts w:ascii="Arial" w:eastAsia="Arial" w:hAnsi="Arial" w:cs="Arial"/>
                <w:b/>
                <w:color w:val="FF0000"/>
                <w:sz w:val="24"/>
                <w:szCs w:val="24"/>
              </w:rPr>
              <w:t>Y</w:t>
            </w:r>
            <w:r>
              <w:rPr>
                <w:rFonts w:ascii="Arial" w:eastAsia="Arial" w:hAnsi="Arial" w:cs="Arial"/>
                <w:b/>
                <w:color w:val="FF0000"/>
                <w:spacing w:val="-7"/>
                <w:sz w:val="24"/>
                <w:szCs w:val="24"/>
              </w:rPr>
              <w:t xml:space="preserve"> </w:t>
            </w:r>
            <w:r>
              <w:rPr>
                <w:rFonts w:ascii="Arial" w:eastAsia="Arial" w:hAnsi="Arial" w:cs="Arial"/>
                <w:b/>
                <w:color w:val="FF0000"/>
                <w:sz w:val="24"/>
                <w:szCs w:val="24"/>
              </w:rPr>
              <w:t>POSGRADO</w:t>
            </w:r>
          </w:p>
          <w:p w:rsidR="002A4DE4" w:rsidRDefault="002A4DE4" w:rsidP="002A4DE4">
            <w:pPr>
              <w:tabs>
                <w:tab w:val="left" w:pos="3460"/>
              </w:tabs>
              <w:jc w:val="both"/>
              <w:rPr>
                <w:rFonts w:ascii="Swis721 Lt BT" w:eastAsia="Times New Roman" w:hAnsi="Swis721 Lt BT" w:cs="Times New Roman"/>
                <w:sz w:val="24"/>
                <w:szCs w:val="24"/>
                <w:lang w:eastAsia="es-ES"/>
              </w:rPr>
            </w:pPr>
          </w:p>
          <w:p w:rsidR="002A4DE4" w:rsidRDefault="002A4DE4" w:rsidP="002A4DE4">
            <w:pPr>
              <w:jc w:val="both"/>
              <w:rPr>
                <w:rFonts w:ascii="Swis721 Lt BT" w:hAnsi="Swis721 Lt BT"/>
                <w:b/>
              </w:rPr>
            </w:pPr>
            <w:r>
              <w:rPr>
                <w:rFonts w:ascii="Swis721 Lt BT" w:hAnsi="Swis721 Lt BT"/>
                <w:b/>
              </w:rPr>
              <w:t xml:space="preserve">Programas de pregrado en plataforma CONACES pendientes de Resolución de registro calificado: Ninguno </w:t>
            </w:r>
          </w:p>
          <w:p w:rsidR="002A4DE4" w:rsidRDefault="002A4DE4" w:rsidP="002A4DE4">
            <w:pPr>
              <w:ind w:right="71"/>
              <w:jc w:val="both"/>
              <w:rPr>
                <w:rFonts w:ascii="Arial" w:eastAsia="Arial" w:hAnsi="Arial" w:cs="Arial"/>
                <w:b/>
                <w:sz w:val="24"/>
                <w:szCs w:val="24"/>
              </w:rPr>
            </w:pPr>
          </w:p>
          <w:p w:rsidR="002A4DE4" w:rsidRDefault="002A4DE4" w:rsidP="002A4DE4">
            <w:pPr>
              <w:ind w:right="71"/>
              <w:jc w:val="both"/>
              <w:rPr>
                <w:rFonts w:ascii="Arial" w:eastAsia="Arial" w:hAnsi="Arial" w:cs="Arial"/>
                <w:sz w:val="24"/>
                <w:szCs w:val="24"/>
              </w:rPr>
            </w:pPr>
            <w:r>
              <w:rPr>
                <w:rFonts w:ascii="Arial" w:eastAsia="Arial" w:hAnsi="Arial" w:cs="Arial"/>
                <w:sz w:val="24"/>
                <w:szCs w:val="24"/>
              </w:rPr>
              <w:t>En elaboración de Documento Maestro: Ingeniería Financiera. Actualmente en revisión de Planeación Seccional y envío posterior a Planeación Nacional</w:t>
            </w:r>
          </w:p>
          <w:p w:rsidR="002A4DE4" w:rsidRDefault="002A4DE4" w:rsidP="002A4DE4">
            <w:pPr>
              <w:ind w:right="71"/>
              <w:jc w:val="both"/>
              <w:rPr>
                <w:rFonts w:ascii="Arial" w:eastAsia="Arial" w:hAnsi="Arial" w:cs="Arial"/>
                <w:sz w:val="24"/>
                <w:szCs w:val="24"/>
              </w:rPr>
            </w:pPr>
          </w:p>
          <w:p w:rsidR="002A4DE4" w:rsidRDefault="002A4DE4" w:rsidP="002A4DE4">
            <w:pPr>
              <w:ind w:right="71"/>
              <w:jc w:val="both"/>
              <w:rPr>
                <w:rFonts w:ascii="Arial" w:eastAsia="Arial" w:hAnsi="Arial" w:cs="Arial"/>
                <w:b/>
                <w:sz w:val="24"/>
                <w:szCs w:val="24"/>
              </w:rPr>
            </w:pPr>
            <w:r>
              <w:rPr>
                <w:rFonts w:ascii="Arial" w:eastAsia="Arial" w:hAnsi="Arial" w:cs="Arial"/>
                <w:b/>
                <w:sz w:val="24"/>
                <w:szCs w:val="24"/>
              </w:rPr>
              <w:t>Diagnósticos de Pertinencia de los programas a ofertar por la Seccional</w:t>
            </w:r>
          </w:p>
          <w:p w:rsidR="002A4DE4" w:rsidRDefault="002A4DE4" w:rsidP="002A4DE4">
            <w:pPr>
              <w:ind w:right="71"/>
              <w:jc w:val="both"/>
              <w:rPr>
                <w:rFonts w:ascii="Arial" w:eastAsia="Arial" w:hAnsi="Arial" w:cs="Arial"/>
              </w:rPr>
            </w:pPr>
          </w:p>
          <w:p w:rsidR="002A4DE4" w:rsidRDefault="002A4DE4" w:rsidP="002A4DE4">
            <w:pPr>
              <w:ind w:right="71"/>
              <w:jc w:val="both"/>
              <w:rPr>
                <w:rFonts w:ascii="Arial" w:eastAsia="Arial" w:hAnsi="Arial" w:cs="Arial"/>
                <w:b/>
              </w:rPr>
            </w:pPr>
            <w:r>
              <w:rPr>
                <w:rFonts w:ascii="Arial" w:eastAsia="Arial" w:hAnsi="Arial" w:cs="Arial"/>
                <w:b/>
              </w:rPr>
              <w:t xml:space="preserve">Facultad de Derecho: </w:t>
            </w:r>
          </w:p>
          <w:p w:rsidR="002A4DE4" w:rsidRDefault="002A4DE4" w:rsidP="002A4DE4">
            <w:pPr>
              <w:ind w:right="71"/>
              <w:jc w:val="both"/>
              <w:rPr>
                <w:rFonts w:ascii="Arial" w:eastAsia="Arial" w:hAnsi="Arial" w:cs="Arial"/>
                <w:lang w:val="es-CO"/>
              </w:rPr>
            </w:pPr>
            <w:r>
              <w:rPr>
                <w:rFonts w:ascii="Arial" w:eastAsia="Arial" w:hAnsi="Arial" w:cs="Arial"/>
                <w:lang w:val="es-CO"/>
              </w:rPr>
              <w:t>Especialización en servicios públicos</w:t>
            </w:r>
          </w:p>
          <w:p w:rsidR="002A4DE4" w:rsidRDefault="002A4DE4" w:rsidP="002A4DE4">
            <w:pPr>
              <w:ind w:right="71"/>
              <w:jc w:val="both"/>
              <w:rPr>
                <w:rFonts w:ascii="Arial" w:eastAsia="Arial" w:hAnsi="Arial" w:cs="Arial"/>
                <w:lang w:val="es-CO"/>
              </w:rPr>
            </w:pPr>
            <w:r>
              <w:rPr>
                <w:rFonts w:ascii="Arial" w:eastAsia="Arial" w:hAnsi="Arial" w:cs="Arial"/>
                <w:lang w:val="es-CO"/>
              </w:rPr>
              <w:t>Especialización en derecho disciplinario</w:t>
            </w:r>
          </w:p>
          <w:p w:rsidR="002A4DE4" w:rsidRDefault="002A4DE4" w:rsidP="002A4DE4">
            <w:pPr>
              <w:ind w:right="71"/>
              <w:jc w:val="both"/>
              <w:rPr>
                <w:rFonts w:ascii="Arial" w:eastAsia="Arial" w:hAnsi="Arial" w:cs="Arial"/>
                <w:lang w:val="es-CO"/>
              </w:rPr>
            </w:pPr>
            <w:r>
              <w:rPr>
                <w:rFonts w:ascii="Arial" w:eastAsia="Arial" w:hAnsi="Arial" w:cs="Arial"/>
                <w:lang w:val="es-CO"/>
              </w:rPr>
              <w:t>Especialización en posconflicto</w:t>
            </w:r>
          </w:p>
          <w:p w:rsidR="002A4DE4" w:rsidRDefault="002A4DE4" w:rsidP="002A4DE4">
            <w:pPr>
              <w:ind w:right="71"/>
              <w:jc w:val="both"/>
              <w:rPr>
                <w:rFonts w:ascii="Arial" w:eastAsia="Arial" w:hAnsi="Arial" w:cs="Arial"/>
                <w:lang w:val="es-CO"/>
              </w:rPr>
            </w:pPr>
            <w:r>
              <w:rPr>
                <w:rFonts w:ascii="Arial" w:eastAsia="Arial" w:hAnsi="Arial" w:cs="Arial"/>
                <w:lang w:val="es-CO"/>
              </w:rPr>
              <w:t xml:space="preserve">Especialización Contratación Estatal </w:t>
            </w:r>
          </w:p>
          <w:p w:rsidR="002A4DE4" w:rsidRDefault="002A4DE4" w:rsidP="002A4DE4">
            <w:pPr>
              <w:ind w:right="71"/>
              <w:jc w:val="both"/>
              <w:rPr>
                <w:rFonts w:ascii="Arial" w:eastAsia="Arial" w:hAnsi="Arial" w:cs="Arial"/>
              </w:rPr>
            </w:pPr>
          </w:p>
          <w:p w:rsidR="002A4DE4" w:rsidRDefault="002A4DE4" w:rsidP="002A4DE4">
            <w:pPr>
              <w:ind w:right="71"/>
              <w:jc w:val="both"/>
              <w:rPr>
                <w:rFonts w:ascii="Arial" w:eastAsia="Arial" w:hAnsi="Arial" w:cs="Arial"/>
                <w:b/>
              </w:rPr>
            </w:pPr>
            <w:r>
              <w:rPr>
                <w:rFonts w:ascii="Arial" w:eastAsia="Arial" w:hAnsi="Arial" w:cs="Arial"/>
                <w:b/>
              </w:rPr>
              <w:t>Facultad de Ingenierías</w:t>
            </w:r>
          </w:p>
          <w:p w:rsidR="002A4DE4" w:rsidRDefault="002A4DE4" w:rsidP="002A4DE4">
            <w:pPr>
              <w:ind w:right="71"/>
              <w:jc w:val="both"/>
              <w:rPr>
                <w:rFonts w:ascii="Arial" w:eastAsia="Arial" w:hAnsi="Arial" w:cs="Arial"/>
                <w:lang w:val="es-CO"/>
              </w:rPr>
            </w:pPr>
            <w:r>
              <w:rPr>
                <w:rFonts w:ascii="Arial" w:eastAsia="Arial" w:hAnsi="Arial" w:cs="Arial"/>
                <w:lang w:val="es-CO"/>
              </w:rPr>
              <w:t>Gerencia de la Construcción</w:t>
            </w:r>
          </w:p>
          <w:p w:rsidR="002A4DE4" w:rsidRDefault="002A4DE4" w:rsidP="002A4DE4">
            <w:pPr>
              <w:ind w:right="71"/>
              <w:jc w:val="both"/>
              <w:rPr>
                <w:rFonts w:ascii="Arial" w:eastAsia="Arial" w:hAnsi="Arial" w:cs="Arial"/>
                <w:lang w:val="es-CO"/>
              </w:rPr>
            </w:pPr>
            <w:r>
              <w:rPr>
                <w:rFonts w:ascii="Arial" w:eastAsia="Arial" w:hAnsi="Arial" w:cs="Arial"/>
                <w:lang w:val="es-CO"/>
              </w:rPr>
              <w:t>Seguridad de la información</w:t>
            </w:r>
          </w:p>
          <w:p w:rsidR="002A4DE4" w:rsidRDefault="002A4DE4" w:rsidP="002A4DE4">
            <w:pPr>
              <w:ind w:right="71"/>
              <w:jc w:val="both"/>
              <w:rPr>
                <w:rFonts w:ascii="Arial" w:eastAsia="Arial" w:hAnsi="Arial" w:cs="Arial"/>
                <w:lang w:val="es-CO"/>
              </w:rPr>
            </w:pPr>
          </w:p>
          <w:p w:rsidR="002A4DE4" w:rsidRDefault="002A4DE4" w:rsidP="002A4DE4">
            <w:pPr>
              <w:ind w:right="71"/>
              <w:jc w:val="both"/>
              <w:rPr>
                <w:rFonts w:ascii="Arial" w:eastAsia="Arial" w:hAnsi="Arial" w:cs="Arial"/>
                <w:b/>
              </w:rPr>
            </w:pPr>
            <w:r>
              <w:rPr>
                <w:rFonts w:ascii="Arial" w:eastAsia="Arial" w:hAnsi="Arial" w:cs="Arial"/>
                <w:b/>
              </w:rPr>
              <w:t>Facultad de Ciencias de la Salud</w:t>
            </w:r>
          </w:p>
          <w:p w:rsidR="002A4DE4" w:rsidRDefault="002A4DE4" w:rsidP="002A4DE4">
            <w:pPr>
              <w:ind w:right="71"/>
              <w:jc w:val="both"/>
              <w:rPr>
                <w:rFonts w:ascii="Arial" w:eastAsia="Arial" w:hAnsi="Arial" w:cs="Arial"/>
                <w:bCs/>
                <w:lang w:val="es-CO"/>
              </w:rPr>
            </w:pPr>
            <w:r>
              <w:rPr>
                <w:rFonts w:ascii="Arial" w:eastAsia="Arial" w:hAnsi="Arial" w:cs="Arial"/>
                <w:bCs/>
                <w:lang w:val="es-CO"/>
              </w:rPr>
              <w:t>Maestría en Biotecnología</w:t>
            </w:r>
          </w:p>
          <w:p w:rsidR="002A4DE4" w:rsidRDefault="002A4DE4" w:rsidP="002A4DE4">
            <w:pPr>
              <w:ind w:right="71"/>
              <w:jc w:val="both"/>
              <w:rPr>
                <w:rFonts w:ascii="Arial" w:eastAsia="Arial" w:hAnsi="Arial" w:cs="Arial"/>
                <w:bCs/>
                <w:lang w:val="es-CO"/>
              </w:rPr>
            </w:pPr>
            <w:r>
              <w:rPr>
                <w:rFonts w:ascii="Arial" w:eastAsia="Arial" w:hAnsi="Arial" w:cs="Arial"/>
                <w:bCs/>
                <w:lang w:val="es-CO"/>
              </w:rPr>
              <w:t>Maestría en Microbiología molecular</w:t>
            </w:r>
          </w:p>
          <w:p w:rsidR="002A4DE4" w:rsidRDefault="002A4DE4" w:rsidP="002A4DE4">
            <w:pPr>
              <w:ind w:right="71"/>
              <w:jc w:val="both"/>
              <w:rPr>
                <w:rFonts w:ascii="Arial" w:eastAsia="Arial" w:hAnsi="Arial" w:cs="Arial"/>
                <w:b/>
                <w:bCs/>
                <w:lang w:val="es-CO"/>
              </w:rPr>
            </w:pPr>
            <w:r>
              <w:rPr>
                <w:rFonts w:ascii="Arial" w:eastAsia="Arial" w:hAnsi="Arial" w:cs="Arial"/>
                <w:bCs/>
                <w:lang w:val="es-CO"/>
              </w:rPr>
              <w:t>Maestría en enfermería</w:t>
            </w:r>
          </w:p>
          <w:p w:rsidR="002A4DE4" w:rsidRDefault="002A4DE4" w:rsidP="002A4DE4">
            <w:pPr>
              <w:ind w:right="71"/>
              <w:jc w:val="both"/>
              <w:rPr>
                <w:rFonts w:ascii="Arial" w:eastAsia="Arial" w:hAnsi="Arial" w:cs="Arial"/>
                <w:b/>
                <w:bCs/>
                <w:lang w:val="es-CO"/>
              </w:rPr>
            </w:pPr>
          </w:p>
          <w:p w:rsidR="002A4DE4" w:rsidRDefault="002A4DE4" w:rsidP="002A4DE4">
            <w:pPr>
              <w:ind w:right="71"/>
              <w:jc w:val="both"/>
              <w:rPr>
                <w:rFonts w:ascii="Arial" w:eastAsia="Arial" w:hAnsi="Arial" w:cs="Arial"/>
                <w:b/>
                <w:lang w:val="es-CO"/>
              </w:rPr>
            </w:pPr>
            <w:r>
              <w:rPr>
                <w:rFonts w:ascii="Arial" w:eastAsia="Arial" w:hAnsi="Arial" w:cs="Arial"/>
                <w:b/>
                <w:bCs/>
                <w:lang w:val="es-CO"/>
              </w:rPr>
              <w:t>Ciencias Económicas A y C</w:t>
            </w:r>
          </w:p>
          <w:p w:rsidR="002A4DE4" w:rsidRDefault="002A4DE4" w:rsidP="002A4DE4">
            <w:pPr>
              <w:ind w:right="71"/>
              <w:jc w:val="both"/>
              <w:rPr>
                <w:rFonts w:ascii="Arial" w:eastAsia="Arial" w:hAnsi="Arial" w:cs="Arial"/>
                <w:lang w:val="es-CO"/>
              </w:rPr>
            </w:pPr>
            <w:r>
              <w:rPr>
                <w:rFonts w:ascii="Arial" w:eastAsia="Arial" w:hAnsi="Arial" w:cs="Arial"/>
                <w:lang w:val="es-CO"/>
              </w:rPr>
              <w:t>Maestría en Tributación</w:t>
            </w:r>
          </w:p>
          <w:p w:rsidR="002A4DE4" w:rsidRDefault="002A4DE4" w:rsidP="002A4DE4">
            <w:pPr>
              <w:ind w:right="71"/>
              <w:jc w:val="both"/>
              <w:rPr>
                <w:rFonts w:ascii="Arial" w:eastAsia="Arial" w:hAnsi="Arial" w:cs="Arial"/>
                <w:lang w:val="es-CO"/>
              </w:rPr>
            </w:pPr>
            <w:r>
              <w:rPr>
                <w:rFonts w:ascii="Arial" w:eastAsia="Arial" w:hAnsi="Arial" w:cs="Arial"/>
                <w:lang w:val="es-CO"/>
              </w:rPr>
              <w:t xml:space="preserve">Maestría en Revisoría fiscal </w:t>
            </w:r>
          </w:p>
          <w:p w:rsidR="002A4DE4" w:rsidRDefault="002A4DE4" w:rsidP="002A4DE4">
            <w:pPr>
              <w:ind w:right="71"/>
              <w:jc w:val="both"/>
              <w:rPr>
                <w:rFonts w:ascii="Arial" w:eastAsia="Arial" w:hAnsi="Arial" w:cs="Arial"/>
                <w:lang w:val="es-CO"/>
              </w:rPr>
            </w:pPr>
            <w:r>
              <w:rPr>
                <w:rFonts w:ascii="Arial" w:eastAsia="Arial" w:hAnsi="Arial" w:cs="Arial"/>
                <w:lang w:val="es-CO"/>
              </w:rPr>
              <w:t>Maestría en Formulación y Evaluación de Proyectos</w:t>
            </w:r>
          </w:p>
          <w:p w:rsidR="002A4DE4" w:rsidRDefault="002A4DE4" w:rsidP="002A4DE4">
            <w:pPr>
              <w:ind w:right="71"/>
              <w:jc w:val="both"/>
              <w:rPr>
                <w:rFonts w:ascii="Arial" w:eastAsia="Arial" w:hAnsi="Arial" w:cs="Arial"/>
                <w:lang w:val="es-CO"/>
              </w:rPr>
            </w:pPr>
            <w:r>
              <w:rPr>
                <w:rFonts w:ascii="Arial" w:eastAsia="Arial" w:hAnsi="Arial" w:cs="Arial"/>
                <w:lang w:val="es-CO"/>
              </w:rPr>
              <w:t>Pregrado en Administración logística</w:t>
            </w:r>
          </w:p>
          <w:p w:rsidR="002A4DE4" w:rsidRDefault="002A4DE4" w:rsidP="002A4DE4">
            <w:pPr>
              <w:ind w:right="71"/>
              <w:jc w:val="both"/>
              <w:rPr>
                <w:rFonts w:ascii="Arial" w:eastAsia="Arial" w:hAnsi="Arial" w:cs="Arial"/>
                <w:b/>
              </w:rPr>
            </w:pPr>
          </w:p>
          <w:p w:rsidR="002A4DE4" w:rsidRDefault="002A4DE4" w:rsidP="002A4DE4">
            <w:pPr>
              <w:tabs>
                <w:tab w:val="left" w:pos="3460"/>
              </w:tabs>
              <w:jc w:val="both"/>
              <w:rPr>
                <w:rFonts w:ascii="Swis721 Lt BT" w:eastAsia="Times New Roman" w:hAnsi="Swis721 Lt BT" w:cs="Times New Roman"/>
                <w:b/>
                <w:color w:val="FF0000"/>
                <w:sz w:val="24"/>
                <w:szCs w:val="24"/>
                <w:lang w:eastAsia="es-ES"/>
              </w:rPr>
            </w:pPr>
            <w:r>
              <w:rPr>
                <w:rFonts w:ascii="Swis721 Lt BT" w:eastAsia="Times New Roman" w:hAnsi="Swis721 Lt BT" w:cs="Times New Roman"/>
                <w:b/>
                <w:color w:val="FF0000"/>
                <w:sz w:val="24"/>
                <w:szCs w:val="24"/>
                <w:lang w:eastAsia="es-ES"/>
              </w:rPr>
              <w:t>PROYECTO 07: AUTOEVALUACIÓN Y AUTORREGULACIÓN PARA LA MEJORA PERMANENTE DE LA CALIDAD ACADÉMICA</w:t>
            </w:r>
          </w:p>
          <w:p w:rsidR="002A4DE4" w:rsidRDefault="002A4DE4" w:rsidP="002A4DE4">
            <w:pPr>
              <w:jc w:val="both"/>
              <w:rPr>
                <w:rFonts w:ascii="Swis721 Lt BT" w:eastAsia="Times New Roman" w:hAnsi="Swis721 Lt BT" w:cs="Times New Roman"/>
                <w:b/>
                <w:sz w:val="24"/>
                <w:szCs w:val="24"/>
                <w:lang w:eastAsia="es-ES"/>
              </w:rPr>
            </w:pPr>
          </w:p>
          <w:p w:rsidR="002A4DE4" w:rsidRDefault="002A4DE4" w:rsidP="002A4DE4">
            <w:pPr>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lastRenderedPageBreak/>
              <w:t>Programas de pregrado con resolución de renovación de registro calificado 2018: Especialización en Gerencia Social (</w:t>
            </w:r>
            <w:r>
              <w:rPr>
                <w:rFonts w:ascii="Arial" w:hAnsi="Arial" w:cs="Arial"/>
                <w:bCs/>
                <w:szCs w:val="18"/>
              </w:rPr>
              <w:t xml:space="preserve">Resolución de Aprobación 03659 del 02 de </w:t>
            </w:r>
            <w:proofErr w:type="gramStart"/>
            <w:r>
              <w:rPr>
                <w:rFonts w:ascii="Arial" w:hAnsi="Arial" w:cs="Arial"/>
                <w:bCs/>
                <w:szCs w:val="18"/>
              </w:rPr>
              <w:t>marzo  de</w:t>
            </w:r>
            <w:proofErr w:type="gramEnd"/>
            <w:r>
              <w:rPr>
                <w:rFonts w:ascii="Arial" w:hAnsi="Arial" w:cs="Arial"/>
                <w:bCs/>
                <w:szCs w:val="18"/>
              </w:rPr>
              <w:t xml:space="preserve"> 2018)</w:t>
            </w:r>
          </w:p>
          <w:p w:rsidR="002A4DE4" w:rsidRDefault="002A4DE4" w:rsidP="002A4DE4">
            <w:pPr>
              <w:jc w:val="both"/>
              <w:rPr>
                <w:rFonts w:ascii="Swis721 Lt BT" w:hAnsi="Swis721 Lt BT"/>
                <w:b/>
              </w:rPr>
            </w:pPr>
          </w:p>
          <w:p w:rsidR="002A4DE4" w:rsidRDefault="002A4DE4" w:rsidP="002A4DE4">
            <w:pPr>
              <w:jc w:val="both"/>
              <w:rPr>
                <w:rFonts w:ascii="Swis721 Lt BT" w:hAnsi="Swis721 Lt BT"/>
                <w:b/>
              </w:rPr>
            </w:pPr>
            <w:r>
              <w:rPr>
                <w:rFonts w:ascii="Swis721 Lt BT" w:hAnsi="Swis721 Lt BT"/>
                <w:b/>
              </w:rPr>
              <w:t>Programa con renovación de registro calificado</w:t>
            </w:r>
          </w:p>
          <w:p w:rsidR="002A4DE4" w:rsidRDefault="002A4DE4" w:rsidP="002A4DE4">
            <w:pPr>
              <w:jc w:val="both"/>
              <w:rPr>
                <w:rFonts w:ascii="Swis721 Lt BT" w:eastAsia="Times New Roman" w:hAnsi="Swis721 Lt BT" w:cs="Times New Roman"/>
                <w:b/>
                <w:sz w:val="24"/>
                <w:szCs w:val="24"/>
                <w:lang w:eastAsia="es-ES"/>
              </w:rPr>
            </w:pPr>
          </w:p>
          <w:p w:rsidR="002A4DE4" w:rsidRDefault="002A4DE4" w:rsidP="002A4DE4">
            <w:pPr>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Programas de pregrado en proceso de autoevaluación con fines de renovación de registro calificado</w:t>
            </w:r>
            <w:r>
              <w:rPr>
                <w:rFonts w:ascii="Swis721 Lt BT" w:eastAsia="Times New Roman" w:hAnsi="Swis721 Lt BT" w:cs="Times New Roman"/>
                <w:sz w:val="24"/>
                <w:szCs w:val="24"/>
                <w:lang w:eastAsia="es-ES"/>
              </w:rPr>
              <w:t xml:space="preserve">: </w:t>
            </w:r>
          </w:p>
          <w:p w:rsidR="002A4DE4" w:rsidRDefault="002A4DE4" w:rsidP="002A4DE4">
            <w:pPr>
              <w:jc w:val="both"/>
              <w:rPr>
                <w:rFonts w:ascii="Swis721 Lt BT" w:eastAsia="Times New Roman" w:hAnsi="Swis721 Lt BT" w:cs="Times New Roman"/>
                <w:sz w:val="24"/>
                <w:szCs w:val="24"/>
                <w:lang w:eastAsia="es-ES"/>
              </w:rPr>
            </w:pPr>
          </w:p>
          <w:p w:rsidR="002A4DE4" w:rsidRDefault="002A4DE4" w:rsidP="002A4DE4">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Programas de posgrado que iniciaron durante el primer trimestre del presente año proceso de autoevaluación con fines de renovación de registro calificado:</w:t>
            </w:r>
          </w:p>
          <w:p w:rsidR="002A4DE4" w:rsidRDefault="002A4DE4" w:rsidP="002A4DE4">
            <w:pPr>
              <w:jc w:val="both"/>
              <w:rPr>
                <w:rFonts w:ascii="Swis721 Lt BT" w:eastAsia="Times New Roman" w:hAnsi="Swis721 Lt BT" w:cs="Times New Roman"/>
                <w:b/>
                <w:sz w:val="24"/>
                <w:szCs w:val="24"/>
                <w:lang w:eastAsia="es-ES"/>
              </w:rPr>
            </w:pPr>
          </w:p>
          <w:p w:rsidR="002A4DE4" w:rsidRDefault="002A4DE4" w:rsidP="002A4DE4">
            <w:pPr>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Facultad de Derecho</w:t>
            </w:r>
          </w:p>
          <w:p w:rsidR="002A4DE4" w:rsidRDefault="002A4DE4" w:rsidP="002A4DE4">
            <w:pPr>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Momento 1</w:t>
            </w:r>
          </w:p>
          <w:p w:rsidR="002A4DE4" w:rsidRDefault="002A4DE4" w:rsidP="002A4DE4">
            <w:pPr>
              <w:jc w:val="both"/>
              <w:rPr>
                <w:rFonts w:ascii="Swis721 Lt BT" w:hAnsi="Swis721 Lt BT"/>
              </w:rPr>
            </w:pPr>
            <w:r>
              <w:rPr>
                <w:rFonts w:ascii="Swis721 Lt BT" w:hAnsi="Swis721 Lt BT"/>
              </w:rPr>
              <w:t>Derecho del Trabajo, Pensiones y Riesgos Laborales</w:t>
            </w:r>
          </w:p>
          <w:p w:rsidR="002A4DE4" w:rsidRDefault="002A4DE4" w:rsidP="002A4DE4">
            <w:pPr>
              <w:jc w:val="both"/>
              <w:rPr>
                <w:rFonts w:ascii="Swis721 Lt BT" w:hAnsi="Swis721 Lt BT"/>
              </w:rPr>
            </w:pPr>
            <w:r>
              <w:rPr>
                <w:rFonts w:ascii="Swis721 Lt BT" w:hAnsi="Swis721 Lt BT"/>
              </w:rPr>
              <w:t>Derecho Procesal, probatorio y oralidad</w:t>
            </w:r>
          </w:p>
          <w:p w:rsidR="002A4DE4" w:rsidRDefault="002A4DE4" w:rsidP="002A4DE4">
            <w:pPr>
              <w:jc w:val="both"/>
              <w:rPr>
                <w:rFonts w:ascii="Swis721 Lt BT" w:hAnsi="Swis721 Lt BT"/>
              </w:rPr>
            </w:pPr>
            <w:r>
              <w:rPr>
                <w:rFonts w:ascii="Swis721 Lt BT" w:hAnsi="Swis721 Lt BT"/>
              </w:rPr>
              <w:t>Responsabilidad Médica</w:t>
            </w:r>
          </w:p>
          <w:p w:rsidR="002A4DE4" w:rsidRDefault="002A4DE4" w:rsidP="002A4DE4">
            <w:pPr>
              <w:jc w:val="both"/>
              <w:rPr>
                <w:rFonts w:ascii="Swis721 Lt BT" w:hAnsi="Swis721 Lt BT"/>
              </w:rPr>
            </w:pPr>
            <w:r>
              <w:rPr>
                <w:rFonts w:ascii="Swis721 Lt BT" w:hAnsi="Swis721 Lt BT"/>
              </w:rPr>
              <w:t>Derecho Constitucional</w:t>
            </w:r>
          </w:p>
          <w:p w:rsidR="002A4DE4" w:rsidRDefault="002A4DE4" w:rsidP="002A4DE4">
            <w:pPr>
              <w:jc w:val="both"/>
              <w:rPr>
                <w:rFonts w:ascii="Swis721 Lt BT" w:hAnsi="Swis721 Lt BT"/>
              </w:rPr>
            </w:pPr>
            <w:r>
              <w:rPr>
                <w:rFonts w:ascii="Swis721 Lt BT" w:hAnsi="Swis721 Lt BT"/>
              </w:rPr>
              <w:t>Maestría en Derecho Constitucional</w:t>
            </w:r>
          </w:p>
          <w:p w:rsidR="002A4DE4" w:rsidRDefault="002A4DE4" w:rsidP="002A4DE4">
            <w:pPr>
              <w:jc w:val="both"/>
              <w:rPr>
                <w:rFonts w:ascii="Swis721 Lt BT" w:hAnsi="Swis721 Lt BT"/>
                <w:b/>
              </w:rPr>
            </w:pPr>
            <w:r>
              <w:rPr>
                <w:rFonts w:ascii="Swis721 Lt BT" w:hAnsi="Swis721 Lt BT"/>
                <w:b/>
              </w:rPr>
              <w:t>Momento 2</w:t>
            </w:r>
          </w:p>
          <w:p w:rsidR="002A4DE4" w:rsidRDefault="002A4DE4" w:rsidP="002A4DE4">
            <w:pPr>
              <w:jc w:val="both"/>
              <w:rPr>
                <w:rFonts w:ascii="Swis721 Lt BT" w:hAnsi="Swis721 Lt BT"/>
              </w:rPr>
            </w:pPr>
            <w:r>
              <w:rPr>
                <w:rFonts w:ascii="Swis721 Lt BT" w:hAnsi="Swis721 Lt BT"/>
              </w:rPr>
              <w:t>Maestría en Derecho Penal</w:t>
            </w:r>
          </w:p>
          <w:p w:rsidR="002A4DE4" w:rsidRDefault="002A4DE4" w:rsidP="002A4DE4">
            <w:pPr>
              <w:jc w:val="both"/>
              <w:rPr>
                <w:rFonts w:ascii="Swis721 Lt BT" w:hAnsi="Swis721 Lt BT"/>
                <w:color w:val="0070C0"/>
              </w:rPr>
            </w:pPr>
            <w:r>
              <w:rPr>
                <w:rFonts w:ascii="Swis721 Lt BT" w:hAnsi="Swis721 Lt BT"/>
                <w:color w:val="0070C0"/>
              </w:rPr>
              <w:t>Especialización en Derecho Administrativo</w:t>
            </w:r>
          </w:p>
          <w:p w:rsidR="002A4DE4" w:rsidRDefault="002A4DE4" w:rsidP="002A4DE4">
            <w:pPr>
              <w:jc w:val="both"/>
              <w:rPr>
                <w:rFonts w:ascii="Swis721 Lt BT" w:hAnsi="Swis721 Lt BT"/>
                <w:color w:val="0070C0"/>
              </w:rPr>
            </w:pPr>
            <w:r>
              <w:rPr>
                <w:rFonts w:ascii="Swis721 Lt BT" w:hAnsi="Swis721 Lt BT"/>
                <w:color w:val="0070C0"/>
              </w:rPr>
              <w:t>Especialización en Derecho Constitucional</w:t>
            </w:r>
          </w:p>
          <w:p w:rsidR="002A4DE4" w:rsidRDefault="002A4DE4" w:rsidP="002A4DE4">
            <w:pPr>
              <w:jc w:val="both"/>
              <w:rPr>
                <w:rFonts w:ascii="Swis721 Lt BT" w:hAnsi="Swis721 Lt BT"/>
                <w:color w:val="0070C0"/>
              </w:rPr>
            </w:pPr>
            <w:r>
              <w:rPr>
                <w:rFonts w:ascii="Swis721 Lt BT" w:hAnsi="Swis721 Lt BT"/>
                <w:color w:val="0070C0"/>
              </w:rPr>
              <w:t>Maestría en Derecho Administrativo</w:t>
            </w:r>
          </w:p>
          <w:p w:rsidR="002A4DE4" w:rsidRDefault="002A4DE4" w:rsidP="002A4DE4">
            <w:pPr>
              <w:jc w:val="both"/>
              <w:rPr>
                <w:rFonts w:ascii="Swis721 Lt BT" w:hAnsi="Swis721 Lt BT"/>
                <w:b/>
              </w:rPr>
            </w:pPr>
          </w:p>
          <w:p w:rsidR="002A4DE4" w:rsidRDefault="002A4DE4" w:rsidP="002A4DE4">
            <w:pPr>
              <w:jc w:val="both"/>
              <w:rPr>
                <w:rFonts w:ascii="Swis721 Lt BT" w:hAnsi="Swis721 Lt BT"/>
                <w:b/>
              </w:rPr>
            </w:pPr>
            <w:r>
              <w:rPr>
                <w:rFonts w:ascii="Swis721 Lt BT" w:hAnsi="Swis721 Lt BT"/>
                <w:b/>
              </w:rPr>
              <w:t>Facultad de Ciencias Económicas, Administrativas y Contables</w:t>
            </w:r>
          </w:p>
          <w:p w:rsidR="002A4DE4" w:rsidRDefault="002A4DE4" w:rsidP="002A4DE4">
            <w:pPr>
              <w:jc w:val="both"/>
              <w:rPr>
                <w:rFonts w:ascii="Swis721 Lt BT" w:hAnsi="Swis721 Lt BT"/>
                <w:b/>
              </w:rPr>
            </w:pPr>
            <w:r>
              <w:rPr>
                <w:rFonts w:ascii="Swis721 Lt BT" w:hAnsi="Swis721 Lt BT"/>
                <w:b/>
              </w:rPr>
              <w:t>Momento 2</w:t>
            </w:r>
          </w:p>
          <w:p w:rsidR="002A4DE4" w:rsidRDefault="002A4DE4" w:rsidP="002A4DE4">
            <w:pPr>
              <w:jc w:val="both"/>
              <w:rPr>
                <w:rFonts w:ascii="Swis721 Lt BT" w:hAnsi="Swis721 Lt BT"/>
              </w:rPr>
            </w:pPr>
            <w:r>
              <w:rPr>
                <w:rFonts w:ascii="Swis721 Lt BT" w:hAnsi="Swis721 Lt BT"/>
              </w:rPr>
              <w:t>Maestría en Administración de Empresas</w:t>
            </w:r>
          </w:p>
          <w:p w:rsidR="002A4DE4" w:rsidRDefault="002A4DE4" w:rsidP="002A4DE4">
            <w:pPr>
              <w:jc w:val="both"/>
              <w:rPr>
                <w:rFonts w:ascii="Swis721 Lt BT" w:hAnsi="Swis721 Lt BT"/>
              </w:rPr>
            </w:pPr>
            <w:r>
              <w:rPr>
                <w:rFonts w:ascii="Swis721 Lt BT" w:hAnsi="Swis721 Lt BT"/>
              </w:rPr>
              <w:t>Especialización en Gestión Tributaria y Aduanera</w:t>
            </w:r>
          </w:p>
          <w:p w:rsidR="002A4DE4" w:rsidRDefault="002A4DE4" w:rsidP="002A4DE4">
            <w:pPr>
              <w:jc w:val="both"/>
              <w:rPr>
                <w:rFonts w:ascii="Swis721 Lt BT" w:hAnsi="Swis721 Lt BT"/>
                <w:color w:val="0070C0"/>
              </w:rPr>
            </w:pPr>
            <w:r>
              <w:rPr>
                <w:rFonts w:ascii="Swis721 Lt BT" w:hAnsi="Swis721 Lt BT"/>
                <w:color w:val="0070C0"/>
              </w:rPr>
              <w:t>Especialización en Planeación y Gestión Estratégica</w:t>
            </w:r>
          </w:p>
          <w:p w:rsidR="002A4DE4" w:rsidRDefault="002A4DE4" w:rsidP="002A4DE4">
            <w:pPr>
              <w:jc w:val="both"/>
              <w:rPr>
                <w:rFonts w:ascii="Swis721 Lt BT" w:hAnsi="Swis721 Lt BT"/>
                <w:color w:val="0070C0"/>
              </w:rPr>
            </w:pPr>
            <w:r>
              <w:rPr>
                <w:rFonts w:ascii="Swis721 Lt BT" w:hAnsi="Swis721 Lt BT"/>
                <w:color w:val="0070C0"/>
              </w:rPr>
              <w:t>Especialización en Gestión Tributaria y Aduanera</w:t>
            </w:r>
          </w:p>
          <w:p w:rsidR="002A4DE4" w:rsidRDefault="002A4DE4" w:rsidP="002A4DE4">
            <w:pPr>
              <w:jc w:val="both"/>
              <w:rPr>
                <w:rFonts w:ascii="Swis721 Lt BT" w:hAnsi="Swis721 Lt BT"/>
                <w:b/>
                <w:color w:val="0070C0"/>
              </w:rPr>
            </w:pPr>
          </w:p>
          <w:p w:rsidR="002A4DE4" w:rsidRDefault="002A4DE4" w:rsidP="002A4DE4">
            <w:pPr>
              <w:jc w:val="both"/>
              <w:rPr>
                <w:rFonts w:ascii="Swis721 Lt BT" w:hAnsi="Swis721 Lt BT"/>
                <w:b/>
              </w:rPr>
            </w:pPr>
            <w:r>
              <w:rPr>
                <w:rFonts w:ascii="Swis721 Lt BT" w:hAnsi="Swis721 Lt BT"/>
                <w:b/>
              </w:rPr>
              <w:t>Facultad de Ciencias de la Salud</w:t>
            </w:r>
          </w:p>
          <w:p w:rsidR="002A4DE4" w:rsidRDefault="002A4DE4" w:rsidP="002A4DE4">
            <w:pPr>
              <w:jc w:val="both"/>
              <w:rPr>
                <w:rFonts w:ascii="Swis721 Lt BT" w:hAnsi="Swis721 Lt BT"/>
                <w:b/>
              </w:rPr>
            </w:pPr>
            <w:r>
              <w:rPr>
                <w:rFonts w:ascii="Swis721 Lt BT" w:hAnsi="Swis721 Lt BT"/>
                <w:b/>
              </w:rPr>
              <w:t>Momento 1</w:t>
            </w:r>
          </w:p>
          <w:p w:rsidR="002A4DE4" w:rsidRDefault="002A4DE4" w:rsidP="002A4DE4">
            <w:pPr>
              <w:jc w:val="both"/>
              <w:rPr>
                <w:rFonts w:ascii="Swis721 Lt BT" w:hAnsi="Swis721 Lt BT"/>
                <w:color w:val="0070C0"/>
              </w:rPr>
            </w:pPr>
            <w:r>
              <w:rPr>
                <w:rFonts w:ascii="Swis721 Lt BT" w:hAnsi="Swis721 Lt BT"/>
              </w:rPr>
              <w:t>Maestría en Gestión de la Seguridad y Salud en el Trabajo</w:t>
            </w:r>
            <w:r>
              <w:rPr>
                <w:rFonts w:ascii="Swis721 Lt BT" w:hAnsi="Swis721 Lt BT"/>
                <w:color w:val="0070C0"/>
              </w:rPr>
              <w:t>. Inicia Momento 2 de autoevaluación</w:t>
            </w:r>
          </w:p>
          <w:p w:rsidR="002A4DE4" w:rsidRDefault="002A4DE4" w:rsidP="002A4DE4">
            <w:pPr>
              <w:jc w:val="both"/>
              <w:rPr>
                <w:rFonts w:ascii="Arial" w:eastAsia="Arial" w:hAnsi="Arial" w:cs="Arial"/>
              </w:rPr>
            </w:pPr>
          </w:p>
        </w:tc>
      </w:tr>
    </w:tbl>
    <w:p w:rsidR="009E4EED" w:rsidRPr="00156464" w:rsidRDefault="009E4EED" w:rsidP="009D17CF">
      <w:pPr>
        <w:spacing w:after="0" w:line="240" w:lineRule="auto"/>
        <w:jc w:val="center"/>
        <w:rPr>
          <w:rFonts w:ascii="Swis721 Lt BT" w:eastAsia="Times New Roman" w:hAnsi="Swis721 Lt BT" w:cs="Times New Roman"/>
          <w:sz w:val="24"/>
          <w:szCs w:val="24"/>
          <w:lang w:eastAsia="es-ES"/>
        </w:rPr>
      </w:pPr>
    </w:p>
    <w:sectPr w:rsidR="009E4EED" w:rsidRPr="00156464" w:rsidSect="007D25A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4E" w:rsidRDefault="0011064E" w:rsidP="00144088">
      <w:pPr>
        <w:spacing w:after="0" w:line="240" w:lineRule="auto"/>
      </w:pPr>
      <w:r>
        <w:separator/>
      </w:r>
    </w:p>
  </w:endnote>
  <w:endnote w:type="continuationSeparator" w:id="0">
    <w:p w:rsidR="0011064E" w:rsidRDefault="0011064E"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Swis721 Lt BT">
    <w:altName w:val="Corbel"/>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47" w:rsidRDefault="00BA0247" w:rsidP="00BA0247">
    <w:pPr>
      <w:shd w:val="clear" w:color="auto" w:fill="FFFFFF"/>
      <w:spacing w:after="0" w:line="240" w:lineRule="auto"/>
      <w:jc w:val="center"/>
      <w:rPr>
        <w:rFonts w:ascii="Calibri" w:hAnsi="Calibri" w:cs="Calibri"/>
        <w:color w:val="000000"/>
        <w:lang w:val="es-CO" w:eastAsia="es-CO"/>
      </w:rPr>
    </w:pPr>
    <w:r>
      <w:rPr>
        <w:rFonts w:ascii="Calibri" w:hAnsi="Calibri" w:cs="Calibri"/>
        <w:color w:val="000000"/>
      </w:rPr>
      <w:t>PEREIRA RISARALDA.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Centro Calle 40. No. 7-30 PBX (6) 3401081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Belmonte: Avenida las Américas PBX (6) 3401043 </w:t>
    </w:r>
  </w:p>
  <w:p w:rsidR="00BA0247" w:rsidRPr="0050425A" w:rsidRDefault="0011064E" w:rsidP="00BA0247">
    <w:pPr>
      <w:shd w:val="clear" w:color="auto" w:fill="FFFFFF"/>
      <w:spacing w:after="0" w:line="240" w:lineRule="auto"/>
      <w:jc w:val="center"/>
      <w:rPr>
        <w:rFonts w:ascii="Calibri" w:hAnsi="Calibri" w:cs="Calibri"/>
        <w:color w:val="000000"/>
      </w:rPr>
    </w:pPr>
    <w:hyperlink r:id="rId1" w:tgtFrame="_blank" w:history="1">
      <w:r w:rsidR="00BA0247">
        <w:rPr>
          <w:rStyle w:val="Hipervnculo"/>
          <w:rFonts w:ascii="Calibri" w:hAnsi="Calibri" w:cs="Calibri"/>
        </w:rPr>
        <w:t>www.unilibrepereira.edu.co</w:t>
      </w:r>
    </w:hyperlink>
    <w:r w:rsidR="00BA0247">
      <w:rPr>
        <w:rFonts w:ascii="Calibri" w:hAnsi="Calibri" w:cs="Calibri"/>
        <w:color w:val="000000"/>
      </w:rPr>
      <w:t> </w:t>
    </w:r>
  </w:p>
  <w:p w:rsidR="00704578" w:rsidRPr="004F0FD9" w:rsidRDefault="00704578" w:rsidP="00704578">
    <w:pPr>
      <w:pStyle w:val="Piedepgina"/>
      <w:rPr>
        <w:lang w:val="en-US"/>
      </w:rPr>
    </w:pPr>
  </w:p>
  <w:p w:rsidR="00704578" w:rsidRPr="00205E37" w:rsidRDefault="00704578" w:rsidP="00205E37">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4E" w:rsidRDefault="0011064E" w:rsidP="00144088">
      <w:pPr>
        <w:spacing w:after="0" w:line="240" w:lineRule="auto"/>
      </w:pPr>
      <w:r>
        <w:separator/>
      </w:r>
    </w:p>
  </w:footnote>
  <w:footnote w:type="continuationSeparator" w:id="0">
    <w:p w:rsidR="0011064E" w:rsidRDefault="0011064E"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345AA6">
    <w:pPr>
      <w:pStyle w:val="Encabezado"/>
    </w:pPr>
    <w:r w:rsidRPr="00FD2C03">
      <w:rPr>
        <w:noProof/>
        <w:lang w:val="es-CO" w:eastAsia="es-CO"/>
      </w:rPr>
      <w:drawing>
        <wp:inline distT="0" distB="0" distL="0" distR="0" wp14:anchorId="7EB2ABD5" wp14:editId="2777050A">
          <wp:extent cx="5612130" cy="1292225"/>
          <wp:effectExtent l="0" t="0" r="7620" b="3175"/>
          <wp:docPr id="5" name="Imagen 5" descr="C:\Users\luz.piragauta\AppData\Local\Microsoft\Windows\INetCache\Content.Outlook\VA1CR9KL\CABEZOTE PARA PAPELERIA-1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z.piragauta\AppData\Local\Microsoft\Windows\INetCache\Content.Outlook\VA1CR9KL\CABEZOTE PARA PAPELERIA-1 (0000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92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9B52FF"/>
    <w:multiLevelType w:val="hybridMultilevel"/>
    <w:tmpl w:val="8A0441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FFE79BB"/>
    <w:multiLevelType w:val="hybridMultilevel"/>
    <w:tmpl w:val="221E5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4F31CA"/>
    <w:multiLevelType w:val="hybridMultilevel"/>
    <w:tmpl w:val="D666BA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1"/>
  </w:num>
  <w:num w:numId="6">
    <w:abstractNumId w:val="3"/>
  </w:num>
  <w:num w:numId="7">
    <w:abstractNumId w:val="4"/>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569C"/>
    <w:rsid w:val="00007A85"/>
    <w:rsid w:val="000118B0"/>
    <w:rsid w:val="00023B2C"/>
    <w:rsid w:val="0003108E"/>
    <w:rsid w:val="00033498"/>
    <w:rsid w:val="00033D1F"/>
    <w:rsid w:val="0003476D"/>
    <w:rsid w:val="0004213A"/>
    <w:rsid w:val="0004521A"/>
    <w:rsid w:val="000529E5"/>
    <w:rsid w:val="00071333"/>
    <w:rsid w:val="00077B77"/>
    <w:rsid w:val="00085767"/>
    <w:rsid w:val="00085F06"/>
    <w:rsid w:val="00096B0D"/>
    <w:rsid w:val="000A490E"/>
    <w:rsid w:val="000B465E"/>
    <w:rsid w:val="000B60AA"/>
    <w:rsid w:val="000C1327"/>
    <w:rsid w:val="000C4563"/>
    <w:rsid w:val="000C751C"/>
    <w:rsid w:val="000D0778"/>
    <w:rsid w:val="000D08F4"/>
    <w:rsid w:val="000D5F68"/>
    <w:rsid w:val="000E0320"/>
    <w:rsid w:val="000E2D1D"/>
    <w:rsid w:val="000E4287"/>
    <w:rsid w:val="000E73CA"/>
    <w:rsid w:val="000F035F"/>
    <w:rsid w:val="000F3DFE"/>
    <w:rsid w:val="000F4FE1"/>
    <w:rsid w:val="000F578E"/>
    <w:rsid w:val="0011064E"/>
    <w:rsid w:val="001121C4"/>
    <w:rsid w:val="0011402D"/>
    <w:rsid w:val="0011636A"/>
    <w:rsid w:val="0011666B"/>
    <w:rsid w:val="001212B1"/>
    <w:rsid w:val="00132465"/>
    <w:rsid w:val="00132FEA"/>
    <w:rsid w:val="001353DD"/>
    <w:rsid w:val="00141730"/>
    <w:rsid w:val="00144088"/>
    <w:rsid w:val="00151575"/>
    <w:rsid w:val="00153E78"/>
    <w:rsid w:val="00154CDF"/>
    <w:rsid w:val="00156464"/>
    <w:rsid w:val="00161F15"/>
    <w:rsid w:val="00163EE0"/>
    <w:rsid w:val="0017247C"/>
    <w:rsid w:val="00174BF5"/>
    <w:rsid w:val="00175A4D"/>
    <w:rsid w:val="001917DA"/>
    <w:rsid w:val="00192E3B"/>
    <w:rsid w:val="001A327F"/>
    <w:rsid w:val="001A5C13"/>
    <w:rsid w:val="001A7033"/>
    <w:rsid w:val="001B7CD9"/>
    <w:rsid w:val="001C1F11"/>
    <w:rsid w:val="001C31AD"/>
    <w:rsid w:val="001D252B"/>
    <w:rsid w:val="001E20A8"/>
    <w:rsid w:val="001E4027"/>
    <w:rsid w:val="001E4A2B"/>
    <w:rsid w:val="001E667B"/>
    <w:rsid w:val="001E6C99"/>
    <w:rsid w:val="001F335D"/>
    <w:rsid w:val="001F3712"/>
    <w:rsid w:val="001F5115"/>
    <w:rsid w:val="00205E37"/>
    <w:rsid w:val="00207D58"/>
    <w:rsid w:val="00210A36"/>
    <w:rsid w:val="0021742D"/>
    <w:rsid w:val="00220357"/>
    <w:rsid w:val="00220414"/>
    <w:rsid w:val="00223425"/>
    <w:rsid w:val="00223DE0"/>
    <w:rsid w:val="00224010"/>
    <w:rsid w:val="00226D0E"/>
    <w:rsid w:val="0022774F"/>
    <w:rsid w:val="002304CD"/>
    <w:rsid w:val="00236682"/>
    <w:rsid w:val="00241BD7"/>
    <w:rsid w:val="00250E5E"/>
    <w:rsid w:val="00251C6D"/>
    <w:rsid w:val="00251D0C"/>
    <w:rsid w:val="0026075C"/>
    <w:rsid w:val="002617DF"/>
    <w:rsid w:val="00265D84"/>
    <w:rsid w:val="00272D3E"/>
    <w:rsid w:val="00274C7E"/>
    <w:rsid w:val="00291B5B"/>
    <w:rsid w:val="00294676"/>
    <w:rsid w:val="002A19D2"/>
    <w:rsid w:val="002A2EA9"/>
    <w:rsid w:val="002A4DE4"/>
    <w:rsid w:val="002A5342"/>
    <w:rsid w:val="002A630D"/>
    <w:rsid w:val="002A7FB8"/>
    <w:rsid w:val="002B0F2C"/>
    <w:rsid w:val="002B6FF1"/>
    <w:rsid w:val="002C2C2A"/>
    <w:rsid w:val="002E0186"/>
    <w:rsid w:val="002E36E6"/>
    <w:rsid w:val="002E3B20"/>
    <w:rsid w:val="002E52A8"/>
    <w:rsid w:val="002E6904"/>
    <w:rsid w:val="002F13B3"/>
    <w:rsid w:val="002F178A"/>
    <w:rsid w:val="002F3F24"/>
    <w:rsid w:val="0030696C"/>
    <w:rsid w:val="00307BD2"/>
    <w:rsid w:val="00311272"/>
    <w:rsid w:val="00312FB1"/>
    <w:rsid w:val="00314C9A"/>
    <w:rsid w:val="003219E7"/>
    <w:rsid w:val="0032298A"/>
    <w:rsid w:val="00322A4B"/>
    <w:rsid w:val="00326189"/>
    <w:rsid w:val="00330641"/>
    <w:rsid w:val="003306C3"/>
    <w:rsid w:val="00337470"/>
    <w:rsid w:val="00342B22"/>
    <w:rsid w:val="00342FBD"/>
    <w:rsid w:val="00343AA8"/>
    <w:rsid w:val="00345AA6"/>
    <w:rsid w:val="00350CC9"/>
    <w:rsid w:val="003529A3"/>
    <w:rsid w:val="00356180"/>
    <w:rsid w:val="00360144"/>
    <w:rsid w:val="003602DE"/>
    <w:rsid w:val="00362070"/>
    <w:rsid w:val="0036647E"/>
    <w:rsid w:val="0037014D"/>
    <w:rsid w:val="00370A00"/>
    <w:rsid w:val="00371476"/>
    <w:rsid w:val="00374939"/>
    <w:rsid w:val="00376F2E"/>
    <w:rsid w:val="003944FB"/>
    <w:rsid w:val="003A26FB"/>
    <w:rsid w:val="003A406A"/>
    <w:rsid w:val="003A695B"/>
    <w:rsid w:val="003A7807"/>
    <w:rsid w:val="003B5473"/>
    <w:rsid w:val="003C4B16"/>
    <w:rsid w:val="003D0D5C"/>
    <w:rsid w:val="003D28B2"/>
    <w:rsid w:val="003D79D8"/>
    <w:rsid w:val="003E1986"/>
    <w:rsid w:val="003F1E47"/>
    <w:rsid w:val="003F2BBB"/>
    <w:rsid w:val="00404217"/>
    <w:rsid w:val="00406DC3"/>
    <w:rsid w:val="00411126"/>
    <w:rsid w:val="00412111"/>
    <w:rsid w:val="004125BE"/>
    <w:rsid w:val="00435F75"/>
    <w:rsid w:val="00451D8D"/>
    <w:rsid w:val="00453E1E"/>
    <w:rsid w:val="00456E3B"/>
    <w:rsid w:val="0046094D"/>
    <w:rsid w:val="00464CDB"/>
    <w:rsid w:val="0046633E"/>
    <w:rsid w:val="00466DDE"/>
    <w:rsid w:val="004770A9"/>
    <w:rsid w:val="00480AC3"/>
    <w:rsid w:val="00484FD3"/>
    <w:rsid w:val="00487EFE"/>
    <w:rsid w:val="004928D1"/>
    <w:rsid w:val="00494EF0"/>
    <w:rsid w:val="004A089B"/>
    <w:rsid w:val="004B21B2"/>
    <w:rsid w:val="004B4C9F"/>
    <w:rsid w:val="004C31EF"/>
    <w:rsid w:val="004C4857"/>
    <w:rsid w:val="004C6EE4"/>
    <w:rsid w:val="004D208A"/>
    <w:rsid w:val="004D2AF0"/>
    <w:rsid w:val="004D40DA"/>
    <w:rsid w:val="004D46AC"/>
    <w:rsid w:val="004D50E3"/>
    <w:rsid w:val="004D6C39"/>
    <w:rsid w:val="004D79DA"/>
    <w:rsid w:val="004E14B2"/>
    <w:rsid w:val="004E3FD9"/>
    <w:rsid w:val="004E512B"/>
    <w:rsid w:val="004F2580"/>
    <w:rsid w:val="00501046"/>
    <w:rsid w:val="005138D8"/>
    <w:rsid w:val="00513B7E"/>
    <w:rsid w:val="005157D5"/>
    <w:rsid w:val="0052103E"/>
    <w:rsid w:val="005254A1"/>
    <w:rsid w:val="0053125F"/>
    <w:rsid w:val="005401CC"/>
    <w:rsid w:val="005403EE"/>
    <w:rsid w:val="00543E2A"/>
    <w:rsid w:val="00546CEA"/>
    <w:rsid w:val="00547A80"/>
    <w:rsid w:val="00557C8F"/>
    <w:rsid w:val="005654A7"/>
    <w:rsid w:val="0057480C"/>
    <w:rsid w:val="00574D1B"/>
    <w:rsid w:val="00585EF7"/>
    <w:rsid w:val="00591B65"/>
    <w:rsid w:val="00595F83"/>
    <w:rsid w:val="005A0C95"/>
    <w:rsid w:val="005A4A07"/>
    <w:rsid w:val="005A4B96"/>
    <w:rsid w:val="005B16D9"/>
    <w:rsid w:val="005B1FA0"/>
    <w:rsid w:val="005B67DB"/>
    <w:rsid w:val="005B75A2"/>
    <w:rsid w:val="005C3F83"/>
    <w:rsid w:val="005D2A22"/>
    <w:rsid w:val="005D3E40"/>
    <w:rsid w:val="005D456A"/>
    <w:rsid w:val="005D604C"/>
    <w:rsid w:val="005E65BA"/>
    <w:rsid w:val="005F27E1"/>
    <w:rsid w:val="005F4337"/>
    <w:rsid w:val="005F71A4"/>
    <w:rsid w:val="00600D8F"/>
    <w:rsid w:val="00606400"/>
    <w:rsid w:val="0060690D"/>
    <w:rsid w:val="006108C0"/>
    <w:rsid w:val="00616349"/>
    <w:rsid w:val="00622470"/>
    <w:rsid w:val="00625691"/>
    <w:rsid w:val="00626978"/>
    <w:rsid w:val="00630706"/>
    <w:rsid w:val="00631F15"/>
    <w:rsid w:val="00635BFF"/>
    <w:rsid w:val="00651252"/>
    <w:rsid w:val="0067602E"/>
    <w:rsid w:val="00676927"/>
    <w:rsid w:val="00680368"/>
    <w:rsid w:val="00682FAD"/>
    <w:rsid w:val="006856B7"/>
    <w:rsid w:val="00685ED0"/>
    <w:rsid w:val="00694108"/>
    <w:rsid w:val="006A7066"/>
    <w:rsid w:val="006A721F"/>
    <w:rsid w:val="006B4059"/>
    <w:rsid w:val="006B482A"/>
    <w:rsid w:val="006B68E6"/>
    <w:rsid w:val="006C1CEE"/>
    <w:rsid w:val="006D22E9"/>
    <w:rsid w:val="006D39A4"/>
    <w:rsid w:val="006F2975"/>
    <w:rsid w:val="006F6239"/>
    <w:rsid w:val="007042F5"/>
    <w:rsid w:val="00704578"/>
    <w:rsid w:val="0071178A"/>
    <w:rsid w:val="00714B74"/>
    <w:rsid w:val="00720DF7"/>
    <w:rsid w:val="007246AC"/>
    <w:rsid w:val="0073069A"/>
    <w:rsid w:val="00735CD9"/>
    <w:rsid w:val="0073750B"/>
    <w:rsid w:val="00737F4B"/>
    <w:rsid w:val="0074492E"/>
    <w:rsid w:val="0075049F"/>
    <w:rsid w:val="00755183"/>
    <w:rsid w:val="007602DD"/>
    <w:rsid w:val="0076248D"/>
    <w:rsid w:val="00763C3F"/>
    <w:rsid w:val="00765A35"/>
    <w:rsid w:val="00765D0F"/>
    <w:rsid w:val="007663CF"/>
    <w:rsid w:val="00773803"/>
    <w:rsid w:val="00774A35"/>
    <w:rsid w:val="007753B5"/>
    <w:rsid w:val="0078129E"/>
    <w:rsid w:val="00791093"/>
    <w:rsid w:val="00796D42"/>
    <w:rsid w:val="007A0D32"/>
    <w:rsid w:val="007A0D90"/>
    <w:rsid w:val="007A1369"/>
    <w:rsid w:val="007A1A3A"/>
    <w:rsid w:val="007A5925"/>
    <w:rsid w:val="007C004C"/>
    <w:rsid w:val="007C496F"/>
    <w:rsid w:val="007D25A8"/>
    <w:rsid w:val="007D4990"/>
    <w:rsid w:val="007F0A59"/>
    <w:rsid w:val="007F454A"/>
    <w:rsid w:val="00801E80"/>
    <w:rsid w:val="00804750"/>
    <w:rsid w:val="00812BC9"/>
    <w:rsid w:val="0081380E"/>
    <w:rsid w:val="00815900"/>
    <w:rsid w:val="00817789"/>
    <w:rsid w:val="00826C21"/>
    <w:rsid w:val="008279FB"/>
    <w:rsid w:val="008329A4"/>
    <w:rsid w:val="008352D5"/>
    <w:rsid w:val="00840158"/>
    <w:rsid w:val="00840962"/>
    <w:rsid w:val="008433BF"/>
    <w:rsid w:val="00845CC2"/>
    <w:rsid w:val="00851F3C"/>
    <w:rsid w:val="008546E8"/>
    <w:rsid w:val="0085637E"/>
    <w:rsid w:val="008575E5"/>
    <w:rsid w:val="00857B80"/>
    <w:rsid w:val="00860D3D"/>
    <w:rsid w:val="0086129C"/>
    <w:rsid w:val="00862E70"/>
    <w:rsid w:val="008631DF"/>
    <w:rsid w:val="008634AA"/>
    <w:rsid w:val="00863AD7"/>
    <w:rsid w:val="00863B64"/>
    <w:rsid w:val="008710F2"/>
    <w:rsid w:val="00871EDC"/>
    <w:rsid w:val="00873A18"/>
    <w:rsid w:val="00882CC0"/>
    <w:rsid w:val="00887503"/>
    <w:rsid w:val="00891D87"/>
    <w:rsid w:val="0089685D"/>
    <w:rsid w:val="008A5099"/>
    <w:rsid w:val="008B14FC"/>
    <w:rsid w:val="008B21D8"/>
    <w:rsid w:val="008C1F51"/>
    <w:rsid w:val="008C2379"/>
    <w:rsid w:val="008C3A81"/>
    <w:rsid w:val="008C53FB"/>
    <w:rsid w:val="008C5CA1"/>
    <w:rsid w:val="008D11EC"/>
    <w:rsid w:val="008D5312"/>
    <w:rsid w:val="008D75E1"/>
    <w:rsid w:val="008E48A8"/>
    <w:rsid w:val="008F40F5"/>
    <w:rsid w:val="008F431E"/>
    <w:rsid w:val="008F513A"/>
    <w:rsid w:val="008F7BA9"/>
    <w:rsid w:val="00904231"/>
    <w:rsid w:val="00910A4C"/>
    <w:rsid w:val="00912273"/>
    <w:rsid w:val="00915274"/>
    <w:rsid w:val="0092182A"/>
    <w:rsid w:val="0092440E"/>
    <w:rsid w:val="009276B1"/>
    <w:rsid w:val="00936FA0"/>
    <w:rsid w:val="00937830"/>
    <w:rsid w:val="00937C52"/>
    <w:rsid w:val="00952589"/>
    <w:rsid w:val="00955F6F"/>
    <w:rsid w:val="00956771"/>
    <w:rsid w:val="00957B91"/>
    <w:rsid w:val="00962A92"/>
    <w:rsid w:val="00964777"/>
    <w:rsid w:val="00980865"/>
    <w:rsid w:val="00985ECF"/>
    <w:rsid w:val="00985FC7"/>
    <w:rsid w:val="00992419"/>
    <w:rsid w:val="0099759E"/>
    <w:rsid w:val="009A2E9A"/>
    <w:rsid w:val="009B2B39"/>
    <w:rsid w:val="009B3550"/>
    <w:rsid w:val="009B66DB"/>
    <w:rsid w:val="009C449B"/>
    <w:rsid w:val="009C51AC"/>
    <w:rsid w:val="009C5BD0"/>
    <w:rsid w:val="009C7F66"/>
    <w:rsid w:val="009D17CF"/>
    <w:rsid w:val="009D5FDD"/>
    <w:rsid w:val="009E0B58"/>
    <w:rsid w:val="009E21F0"/>
    <w:rsid w:val="009E3979"/>
    <w:rsid w:val="009E4EED"/>
    <w:rsid w:val="009E789A"/>
    <w:rsid w:val="009F3916"/>
    <w:rsid w:val="009F48F7"/>
    <w:rsid w:val="009F669E"/>
    <w:rsid w:val="009F7F90"/>
    <w:rsid w:val="00A10C00"/>
    <w:rsid w:val="00A11A19"/>
    <w:rsid w:val="00A1576E"/>
    <w:rsid w:val="00A1674D"/>
    <w:rsid w:val="00A17274"/>
    <w:rsid w:val="00A177C8"/>
    <w:rsid w:val="00A211B7"/>
    <w:rsid w:val="00A31E5A"/>
    <w:rsid w:val="00A3232C"/>
    <w:rsid w:val="00A36F86"/>
    <w:rsid w:val="00A4196A"/>
    <w:rsid w:val="00A42001"/>
    <w:rsid w:val="00A457D4"/>
    <w:rsid w:val="00A5087D"/>
    <w:rsid w:val="00A62CF8"/>
    <w:rsid w:val="00A631C0"/>
    <w:rsid w:val="00A747A8"/>
    <w:rsid w:val="00A830AF"/>
    <w:rsid w:val="00A856E9"/>
    <w:rsid w:val="00A87C14"/>
    <w:rsid w:val="00A87F59"/>
    <w:rsid w:val="00A91877"/>
    <w:rsid w:val="00A91AB4"/>
    <w:rsid w:val="00A95391"/>
    <w:rsid w:val="00AA0705"/>
    <w:rsid w:val="00AA250C"/>
    <w:rsid w:val="00AB1BEF"/>
    <w:rsid w:val="00AB6D35"/>
    <w:rsid w:val="00AC372D"/>
    <w:rsid w:val="00AC5AA4"/>
    <w:rsid w:val="00AC5BFC"/>
    <w:rsid w:val="00AD2D79"/>
    <w:rsid w:val="00AD6826"/>
    <w:rsid w:val="00AE262C"/>
    <w:rsid w:val="00AE5CA9"/>
    <w:rsid w:val="00AF3FAC"/>
    <w:rsid w:val="00AF786F"/>
    <w:rsid w:val="00B050F4"/>
    <w:rsid w:val="00B1111B"/>
    <w:rsid w:val="00B119D4"/>
    <w:rsid w:val="00B136AE"/>
    <w:rsid w:val="00B154AD"/>
    <w:rsid w:val="00B15E80"/>
    <w:rsid w:val="00B1689E"/>
    <w:rsid w:val="00B20C86"/>
    <w:rsid w:val="00B212C3"/>
    <w:rsid w:val="00B21E99"/>
    <w:rsid w:val="00B225FB"/>
    <w:rsid w:val="00B371AC"/>
    <w:rsid w:val="00B40D74"/>
    <w:rsid w:val="00B42861"/>
    <w:rsid w:val="00B47455"/>
    <w:rsid w:val="00B47992"/>
    <w:rsid w:val="00B543DA"/>
    <w:rsid w:val="00B54F07"/>
    <w:rsid w:val="00B62E2E"/>
    <w:rsid w:val="00B6339A"/>
    <w:rsid w:val="00B633E0"/>
    <w:rsid w:val="00B66434"/>
    <w:rsid w:val="00B7051D"/>
    <w:rsid w:val="00B80025"/>
    <w:rsid w:val="00B83359"/>
    <w:rsid w:val="00B92E86"/>
    <w:rsid w:val="00B93ACC"/>
    <w:rsid w:val="00BA0247"/>
    <w:rsid w:val="00BA0E60"/>
    <w:rsid w:val="00BA47AF"/>
    <w:rsid w:val="00BA6E99"/>
    <w:rsid w:val="00BA7C3D"/>
    <w:rsid w:val="00BB023F"/>
    <w:rsid w:val="00BB0DC4"/>
    <w:rsid w:val="00BC4832"/>
    <w:rsid w:val="00BC56CF"/>
    <w:rsid w:val="00BD0FD4"/>
    <w:rsid w:val="00BD531B"/>
    <w:rsid w:val="00BE00B9"/>
    <w:rsid w:val="00BF4025"/>
    <w:rsid w:val="00BF7B22"/>
    <w:rsid w:val="00C04F53"/>
    <w:rsid w:val="00C060EC"/>
    <w:rsid w:val="00C256E7"/>
    <w:rsid w:val="00C25C64"/>
    <w:rsid w:val="00C30D1D"/>
    <w:rsid w:val="00C3432D"/>
    <w:rsid w:val="00C37330"/>
    <w:rsid w:val="00C436B8"/>
    <w:rsid w:val="00C46204"/>
    <w:rsid w:val="00C514C5"/>
    <w:rsid w:val="00C57A5B"/>
    <w:rsid w:val="00C6111E"/>
    <w:rsid w:val="00C628EC"/>
    <w:rsid w:val="00C65D2E"/>
    <w:rsid w:val="00C7594A"/>
    <w:rsid w:val="00C82684"/>
    <w:rsid w:val="00C828C2"/>
    <w:rsid w:val="00C92003"/>
    <w:rsid w:val="00C92A41"/>
    <w:rsid w:val="00C9579F"/>
    <w:rsid w:val="00CB3091"/>
    <w:rsid w:val="00CB5AEB"/>
    <w:rsid w:val="00CB7BC2"/>
    <w:rsid w:val="00CD4555"/>
    <w:rsid w:val="00CD792A"/>
    <w:rsid w:val="00CE2396"/>
    <w:rsid w:val="00CE26B9"/>
    <w:rsid w:val="00CE4D3F"/>
    <w:rsid w:val="00CE5A7A"/>
    <w:rsid w:val="00CE6294"/>
    <w:rsid w:val="00CF6E8B"/>
    <w:rsid w:val="00CF744C"/>
    <w:rsid w:val="00D0264B"/>
    <w:rsid w:val="00D038B2"/>
    <w:rsid w:val="00D03EA2"/>
    <w:rsid w:val="00D076B3"/>
    <w:rsid w:val="00D076DE"/>
    <w:rsid w:val="00D12AAA"/>
    <w:rsid w:val="00D16DC3"/>
    <w:rsid w:val="00D235C8"/>
    <w:rsid w:val="00D2520D"/>
    <w:rsid w:val="00D25F45"/>
    <w:rsid w:val="00D27510"/>
    <w:rsid w:val="00D37420"/>
    <w:rsid w:val="00D403B8"/>
    <w:rsid w:val="00D41E9F"/>
    <w:rsid w:val="00D4656E"/>
    <w:rsid w:val="00D51568"/>
    <w:rsid w:val="00D627B1"/>
    <w:rsid w:val="00D6677D"/>
    <w:rsid w:val="00D67395"/>
    <w:rsid w:val="00D73A18"/>
    <w:rsid w:val="00D75621"/>
    <w:rsid w:val="00D76A97"/>
    <w:rsid w:val="00D76AC2"/>
    <w:rsid w:val="00D86EC6"/>
    <w:rsid w:val="00D90C22"/>
    <w:rsid w:val="00D954CE"/>
    <w:rsid w:val="00DA1BCF"/>
    <w:rsid w:val="00DA6F05"/>
    <w:rsid w:val="00DB3A98"/>
    <w:rsid w:val="00DC1A13"/>
    <w:rsid w:val="00DC22A0"/>
    <w:rsid w:val="00DD410E"/>
    <w:rsid w:val="00DD493A"/>
    <w:rsid w:val="00DD62B4"/>
    <w:rsid w:val="00DE0157"/>
    <w:rsid w:val="00DE2C75"/>
    <w:rsid w:val="00DE3823"/>
    <w:rsid w:val="00DE3E3B"/>
    <w:rsid w:val="00DE64F4"/>
    <w:rsid w:val="00DE7C0E"/>
    <w:rsid w:val="00DF2AE2"/>
    <w:rsid w:val="00DF4622"/>
    <w:rsid w:val="00E17FED"/>
    <w:rsid w:val="00E259AC"/>
    <w:rsid w:val="00E2751E"/>
    <w:rsid w:val="00E338B9"/>
    <w:rsid w:val="00E41D8F"/>
    <w:rsid w:val="00E43374"/>
    <w:rsid w:val="00E453E1"/>
    <w:rsid w:val="00E4776E"/>
    <w:rsid w:val="00E54E8A"/>
    <w:rsid w:val="00E568B2"/>
    <w:rsid w:val="00E57D36"/>
    <w:rsid w:val="00E6101C"/>
    <w:rsid w:val="00E65515"/>
    <w:rsid w:val="00E66E35"/>
    <w:rsid w:val="00E7254E"/>
    <w:rsid w:val="00E740F4"/>
    <w:rsid w:val="00E7560D"/>
    <w:rsid w:val="00E843E7"/>
    <w:rsid w:val="00E86BD2"/>
    <w:rsid w:val="00E908A1"/>
    <w:rsid w:val="00E952DA"/>
    <w:rsid w:val="00EA1D82"/>
    <w:rsid w:val="00EA4440"/>
    <w:rsid w:val="00EA640B"/>
    <w:rsid w:val="00EA67DC"/>
    <w:rsid w:val="00EB7E91"/>
    <w:rsid w:val="00EC4C37"/>
    <w:rsid w:val="00EC5D38"/>
    <w:rsid w:val="00EC77E2"/>
    <w:rsid w:val="00ED24A5"/>
    <w:rsid w:val="00ED5178"/>
    <w:rsid w:val="00ED764A"/>
    <w:rsid w:val="00EE0881"/>
    <w:rsid w:val="00EE6709"/>
    <w:rsid w:val="00EF1DE2"/>
    <w:rsid w:val="00EF2700"/>
    <w:rsid w:val="00F02A90"/>
    <w:rsid w:val="00F02F71"/>
    <w:rsid w:val="00F04C5F"/>
    <w:rsid w:val="00F07EDE"/>
    <w:rsid w:val="00F10B2F"/>
    <w:rsid w:val="00F11180"/>
    <w:rsid w:val="00F21A23"/>
    <w:rsid w:val="00F234DD"/>
    <w:rsid w:val="00F31226"/>
    <w:rsid w:val="00F31C91"/>
    <w:rsid w:val="00F42425"/>
    <w:rsid w:val="00F45848"/>
    <w:rsid w:val="00F46CBF"/>
    <w:rsid w:val="00F51EC1"/>
    <w:rsid w:val="00F53350"/>
    <w:rsid w:val="00F61518"/>
    <w:rsid w:val="00F80832"/>
    <w:rsid w:val="00F8511A"/>
    <w:rsid w:val="00F851C4"/>
    <w:rsid w:val="00F92B4D"/>
    <w:rsid w:val="00F960FD"/>
    <w:rsid w:val="00F97147"/>
    <w:rsid w:val="00FA1E12"/>
    <w:rsid w:val="00FA4213"/>
    <w:rsid w:val="00FA6D6F"/>
    <w:rsid w:val="00FB1CC7"/>
    <w:rsid w:val="00FC3113"/>
    <w:rsid w:val="00FD5C5A"/>
    <w:rsid w:val="00FD641B"/>
    <w:rsid w:val="00FD7158"/>
    <w:rsid w:val="00FE372C"/>
    <w:rsid w:val="00FE58E6"/>
    <w:rsid w:val="00FE7846"/>
    <w:rsid w:val="00FF0329"/>
    <w:rsid w:val="00FF0D14"/>
    <w:rsid w:val="00FF0F31"/>
    <w:rsid w:val="00FF2D5F"/>
    <w:rsid w:val="00FF47E7"/>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7FE43"/>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432551931">
      <w:bodyDiv w:val="1"/>
      <w:marLeft w:val="0"/>
      <w:marRight w:val="0"/>
      <w:marTop w:val="0"/>
      <w:marBottom w:val="0"/>
      <w:divBdr>
        <w:top w:val="none" w:sz="0" w:space="0" w:color="auto"/>
        <w:left w:val="none" w:sz="0" w:space="0" w:color="auto"/>
        <w:bottom w:val="none" w:sz="0" w:space="0" w:color="auto"/>
        <w:right w:val="none" w:sz="0" w:space="0" w:color="auto"/>
      </w:divBdr>
      <w:divsChild>
        <w:div w:id="1760173678">
          <w:marLeft w:val="0"/>
          <w:marRight w:val="0"/>
          <w:marTop w:val="0"/>
          <w:marBottom w:val="0"/>
          <w:divBdr>
            <w:top w:val="none" w:sz="0" w:space="0" w:color="auto"/>
            <w:left w:val="none" w:sz="0" w:space="0" w:color="auto"/>
            <w:bottom w:val="none" w:sz="0" w:space="0" w:color="auto"/>
            <w:right w:val="none" w:sz="0" w:space="0" w:color="auto"/>
          </w:divBdr>
        </w:div>
        <w:div w:id="1888905485">
          <w:marLeft w:val="0"/>
          <w:marRight w:val="0"/>
          <w:marTop w:val="0"/>
          <w:marBottom w:val="0"/>
          <w:divBdr>
            <w:top w:val="none" w:sz="0" w:space="0" w:color="auto"/>
            <w:left w:val="none" w:sz="0" w:space="0" w:color="auto"/>
            <w:bottom w:val="none" w:sz="0" w:space="0" w:color="auto"/>
            <w:right w:val="none" w:sz="0" w:space="0" w:color="auto"/>
          </w:divBdr>
        </w:div>
        <w:div w:id="952446748">
          <w:marLeft w:val="0"/>
          <w:marRight w:val="0"/>
          <w:marTop w:val="0"/>
          <w:marBottom w:val="0"/>
          <w:divBdr>
            <w:top w:val="none" w:sz="0" w:space="0" w:color="auto"/>
            <w:left w:val="none" w:sz="0" w:space="0" w:color="auto"/>
            <w:bottom w:val="none" w:sz="0" w:space="0" w:color="auto"/>
            <w:right w:val="none" w:sz="0" w:space="0" w:color="auto"/>
          </w:divBdr>
        </w:div>
        <w:div w:id="1780567710">
          <w:marLeft w:val="0"/>
          <w:marRight w:val="0"/>
          <w:marTop w:val="0"/>
          <w:marBottom w:val="0"/>
          <w:divBdr>
            <w:top w:val="none" w:sz="0" w:space="0" w:color="auto"/>
            <w:left w:val="none" w:sz="0" w:space="0" w:color="auto"/>
            <w:bottom w:val="none" w:sz="0" w:space="0" w:color="auto"/>
            <w:right w:val="none" w:sz="0" w:space="0" w:color="auto"/>
          </w:divBdr>
        </w:div>
      </w:divsChild>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844125756">
      <w:bodyDiv w:val="1"/>
      <w:marLeft w:val="0"/>
      <w:marRight w:val="0"/>
      <w:marTop w:val="0"/>
      <w:marBottom w:val="0"/>
      <w:divBdr>
        <w:top w:val="none" w:sz="0" w:space="0" w:color="auto"/>
        <w:left w:val="none" w:sz="0" w:space="0" w:color="auto"/>
        <w:bottom w:val="none" w:sz="0" w:space="0" w:color="auto"/>
        <w:right w:val="none" w:sz="0" w:space="0" w:color="auto"/>
      </w:divBdr>
    </w:div>
    <w:div w:id="1002705321">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269833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382753625">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6239002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79311972">
      <w:bodyDiv w:val="1"/>
      <w:marLeft w:val="0"/>
      <w:marRight w:val="0"/>
      <w:marTop w:val="0"/>
      <w:marBottom w:val="0"/>
      <w:divBdr>
        <w:top w:val="none" w:sz="0" w:space="0" w:color="auto"/>
        <w:left w:val="none" w:sz="0" w:space="0" w:color="auto"/>
        <w:bottom w:val="none" w:sz="0" w:space="0" w:color="auto"/>
        <w:right w:val="none" w:sz="0" w:space="0" w:color="auto"/>
      </w:divBdr>
    </w:div>
    <w:div w:id="20058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A99A-E550-4F9B-B144-C7FDCB21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3070</Words>
  <Characters>16888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Amparo Sanchez</cp:lastModifiedBy>
  <cp:revision>4</cp:revision>
  <cp:lastPrinted>2015-11-13T16:11:00Z</cp:lastPrinted>
  <dcterms:created xsi:type="dcterms:W3CDTF">2018-08-30T20:52:00Z</dcterms:created>
  <dcterms:modified xsi:type="dcterms:W3CDTF">2018-08-30T20:55:00Z</dcterms:modified>
</cp:coreProperties>
</file>